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81315808"/>
        <w:docPartObj>
          <w:docPartGallery w:val="Cover Pages"/>
          <w:docPartUnique/>
        </w:docPartObj>
      </w:sdtPr>
      <w:sdtEndPr>
        <w:rPr>
          <w:b/>
          <w:sz w:val="24"/>
          <w:szCs w:val="24"/>
        </w:rPr>
      </w:sdtEndPr>
      <w:sdtContent>
        <w:p w:rsidR="00DD56F6" w:rsidRDefault="00DD56F6">
          <w:r>
            <w:rPr>
              <w:noProof/>
              <w:lang w:val="en-CA" w:eastAsia="en-CA"/>
            </w:rPr>
            <mc:AlternateContent>
              <mc:Choice Requires="wpg">
                <w:drawing>
                  <wp:anchor distT="0" distB="0" distL="114300" distR="114300" simplePos="0" relativeHeight="25166284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5F56CCA" id="Group 149" o:spid="_x0000_s1026" style="position:absolute;margin-left:0;margin-top:0;width:8in;height:95.7pt;z-index:2516628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a66ac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lang w:val="en-CA" w:eastAsia="en-CA"/>
            </w:rPr>
            <mc:AlternateContent>
              <mc:Choice Requires="wps">
                <w:drawing>
                  <wp:anchor distT="0" distB="0" distL="114300" distR="114300" simplePos="0" relativeHeight="251656704"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DD56F6" w:rsidRDefault="00DD56F6">
                                    <w:pPr>
                                      <w:pStyle w:val="NoSpacing"/>
                                      <w:jc w:val="right"/>
                                      <w:rPr>
                                        <w:color w:val="595959" w:themeColor="text1" w:themeTint="A6"/>
                                        <w:sz w:val="28"/>
                                        <w:szCs w:val="28"/>
                                      </w:rPr>
                                    </w:pPr>
                                    <w:r>
                                      <w:rPr>
                                        <w:color w:val="595959" w:themeColor="text1" w:themeTint="A6"/>
                                        <w:sz w:val="28"/>
                                        <w:szCs w:val="28"/>
                                        <w:lang w:val="en-CA"/>
                                      </w:rPr>
                                      <w:t>201</w:t>
                                    </w:r>
                                    <w:r w:rsidR="0006205B">
                                      <w:rPr>
                                        <w:color w:val="595959" w:themeColor="text1" w:themeTint="A6"/>
                                        <w:sz w:val="28"/>
                                        <w:szCs w:val="28"/>
                                        <w:lang w:val="en-CA"/>
                                      </w:rPr>
                                      <w:t>8</w:t>
                                    </w:r>
                                  </w:p>
                                </w:sdtContent>
                              </w:sdt>
                              <w:p w:rsidR="00DD56F6" w:rsidRDefault="007D0AC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D56F6">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67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DD56F6" w:rsidRDefault="00DD56F6">
                              <w:pPr>
                                <w:pStyle w:val="NoSpacing"/>
                                <w:jc w:val="right"/>
                                <w:rPr>
                                  <w:color w:val="595959" w:themeColor="text1" w:themeTint="A6"/>
                                  <w:sz w:val="28"/>
                                  <w:szCs w:val="28"/>
                                </w:rPr>
                              </w:pPr>
                              <w:r>
                                <w:rPr>
                                  <w:color w:val="595959" w:themeColor="text1" w:themeTint="A6"/>
                                  <w:sz w:val="28"/>
                                  <w:szCs w:val="28"/>
                                  <w:lang w:val="en-CA"/>
                                </w:rPr>
                                <w:t>201</w:t>
                              </w:r>
                              <w:r w:rsidR="0006205B">
                                <w:rPr>
                                  <w:color w:val="595959" w:themeColor="text1" w:themeTint="A6"/>
                                  <w:sz w:val="28"/>
                                  <w:szCs w:val="28"/>
                                  <w:lang w:val="en-CA"/>
                                </w:rPr>
                                <w:t>8</w:t>
                              </w:r>
                            </w:p>
                          </w:sdtContent>
                        </w:sdt>
                        <w:p w:rsidR="00DD56F6" w:rsidRDefault="00CC006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DD56F6">
                                <w:rPr>
                                  <w:color w:val="595959" w:themeColor="text1" w:themeTint="A6"/>
                                  <w:sz w:val="18"/>
                                  <w:szCs w:val="18"/>
                                </w:rPr>
                                <w:t xml:space="preserve">     </w:t>
                              </w:r>
                            </w:sdtContent>
                          </w:sdt>
                        </w:p>
                      </w:txbxContent>
                    </v:textbox>
                    <w10:wrap type="square" anchorx="page" anchory="page"/>
                  </v:shape>
                </w:pict>
              </mc:Fallback>
            </mc:AlternateContent>
          </w:r>
          <w:r>
            <w:rPr>
              <w:noProof/>
              <w:lang w:val="en-CA" w:eastAsia="en-CA"/>
            </w:rPr>
            <mc:AlternateContent>
              <mc:Choice Requires="wps">
                <w:drawing>
                  <wp:anchor distT="0" distB="0" distL="114300" distR="114300" simplePos="0" relativeHeight="251659776"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DD56F6" w:rsidRDefault="00D84FA8">
                                    <w:pPr>
                                      <w:pStyle w:val="NoSpacing"/>
                                      <w:jc w:val="right"/>
                                      <w:rPr>
                                        <w:color w:val="595959" w:themeColor="text1" w:themeTint="A6"/>
                                        <w:sz w:val="20"/>
                                        <w:szCs w:val="20"/>
                                      </w:rPr>
                                    </w:pPr>
                                    <w:r w:rsidRPr="00D84FA8">
                                      <w:rPr>
                                        <w:color w:val="595959" w:themeColor="text1" w:themeTint="A6"/>
                                        <w:sz w:val="28"/>
                                        <w:szCs w:val="28"/>
                                      </w:rPr>
                                      <w:t>This template to</w:t>
                                    </w:r>
                                    <w:r w:rsidR="00DD56F6" w:rsidRPr="00D84FA8">
                                      <w:rPr>
                                        <w:color w:val="595959" w:themeColor="text1" w:themeTint="A6"/>
                                        <w:sz w:val="28"/>
                                        <w:szCs w:val="28"/>
                                      </w:rPr>
                                      <w:t xml:space="preserve"> be completed by all Principle Investigators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left:0;text-align:left;margin-left:0;margin-top:0;width:8in;height:79.5pt;z-index:2516597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DD56F6" w:rsidRDefault="00D84FA8">
                              <w:pPr>
                                <w:pStyle w:val="NoSpacing"/>
                                <w:jc w:val="right"/>
                                <w:rPr>
                                  <w:color w:val="595959" w:themeColor="text1" w:themeTint="A6"/>
                                  <w:sz w:val="20"/>
                                  <w:szCs w:val="20"/>
                                </w:rPr>
                              </w:pPr>
                              <w:r w:rsidRPr="00D84FA8">
                                <w:rPr>
                                  <w:color w:val="595959" w:themeColor="text1" w:themeTint="A6"/>
                                  <w:sz w:val="28"/>
                                  <w:szCs w:val="28"/>
                                </w:rPr>
                                <w:t>This template to</w:t>
                              </w:r>
                              <w:r w:rsidR="00DD56F6" w:rsidRPr="00D84FA8">
                                <w:rPr>
                                  <w:color w:val="595959" w:themeColor="text1" w:themeTint="A6"/>
                                  <w:sz w:val="28"/>
                                  <w:szCs w:val="28"/>
                                </w:rPr>
                                <w:t xml:space="preserve"> be completed by all Principle Investigators </w:t>
                              </w:r>
                            </w:p>
                          </w:sdtContent>
                        </w:sdt>
                      </w:txbxContent>
                    </v:textbox>
                    <w10:wrap type="square" anchorx="page" anchory="page"/>
                  </v:shape>
                </w:pict>
              </mc:Fallback>
            </mc:AlternateContent>
          </w:r>
        </w:p>
        <w:p w:rsidR="00DD56F6" w:rsidRDefault="00D84FA8">
          <w:pPr>
            <w:spacing w:after="200" w:line="276" w:lineRule="auto"/>
            <w:jc w:val="left"/>
            <w:rPr>
              <w:b/>
              <w:sz w:val="24"/>
              <w:szCs w:val="24"/>
            </w:rPr>
          </w:pPr>
          <w:r>
            <w:rPr>
              <w:noProof/>
              <w:lang w:val="en-CA" w:eastAsia="en-CA"/>
            </w:rPr>
            <mc:AlternateContent>
              <mc:Choice Requires="wps">
                <w:drawing>
                  <wp:anchor distT="0" distB="0" distL="114300" distR="114300" simplePos="0" relativeHeight="251653632" behindDoc="0" locked="0" layoutInCell="1" allowOverlap="1">
                    <wp:simplePos x="0" y="0"/>
                    <wp:positionH relativeFrom="page">
                      <wp:posOffset>1402080</wp:posOffset>
                    </wp:positionH>
                    <wp:positionV relativeFrom="page">
                      <wp:posOffset>3947161</wp:posOffset>
                    </wp:positionV>
                    <wp:extent cx="5798820" cy="209550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579882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6F6" w:rsidRDefault="007D0ACE">
                                <w:pPr>
                                  <w:jc w:val="right"/>
                                  <w:rPr>
                                    <w:color w:val="4A66AC" w:themeColor="accent1"/>
                                    <w:sz w:val="64"/>
                                    <w:szCs w:val="64"/>
                                  </w:rPr>
                                </w:pPr>
                                <w:sdt>
                                  <w:sdtPr>
                                    <w:rPr>
                                      <w:caps/>
                                      <w:color w:val="4A66AC"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233F">
                                      <w:rPr>
                                        <w:caps/>
                                        <w:color w:val="4A66AC" w:themeColor="accent1"/>
                                        <w:sz w:val="44"/>
                                        <w:szCs w:val="44"/>
                                        <w:lang w:val="en-CA"/>
                                      </w:rPr>
                                      <w:t>Biosafety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D56F6" w:rsidRDefault="00D84FA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4" o:spid="_x0000_s1028" type="#_x0000_t202" style="position:absolute;margin-left:110.4pt;margin-top:310.8pt;width:456.6pt;height:1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IhAIAAGkFAAAOAAAAZHJzL2Uyb0RvYy54bWysVFtv0zAUfkfiP1h+Z0kLLV21dCqbhpAm&#10;NrGhPbuOvUY4PsZ225Rfz2en6abByxAvzsk537lfzs671rCt8qEhW/HRScmZspLqxj5W/Pv91bsZ&#10;ZyEKWwtDVlV8rwI/X7x9c7ZzczWmNZlaeQYjNsx3ruLrGN28KIJcq1aEE3LKQqjJtyLi1z8WtRc7&#10;WG9NMS7LabEjXztPUoUA7mUv5ItsX2sl443WQUVmKo7YYn59flfpLRZnYv7ohVs38hCG+IcoWtFY&#10;OD2auhRRsI1v/jDVNtJTIB1PJLUFad1IlXNANqPyRTZ3a+FUzgXFCe5YpvD/zMqv21vPmhq9m3zg&#10;zIoWTbpXXWSfqGOJhwrtXJgDeOcAjR0EQA/8AGZKvNO+TV+kxCBHrffH+iZzEszJx9PZbAyRhGxc&#10;nk4mZe5A8aTufIifFbUsERX3aGCuq9heh4hQAB0gyZulq8aY3ERj2a7i0/eTMiscJdAwNmFVHoeD&#10;mZRSH3qm4t6ohDH2m9IoR84gMfIgqgvj2VZghISUysacfLYLdEJpBPEaxQP+KarXKPd5DJ7JxqNy&#10;21jyOfsXYdc/hpB1j0chn+WdyNitujwH46GzK6r3aLinfmmCk1cNmnItQrwVHluCRmLz4w0ebQjF&#10;pwPF2Zr8r7/xEx7DCylnO2xdxcPPjfCKM/PFYqxH07LEWmNR8y8In4npbDJL7NXAtpv2gtCQEc6L&#10;k5lM4GgGUntqH3AblskhRMJKuK34aiAvYn8GcFukWi4zCDvpRLy2d04m06k/adruuwfh3WEkI6b5&#10;Kw2rKeYvJrPHJk1Ly00k3eSxTSXuC3ooPfY5T/Ph9qSD8fw/o54u5OI3AAAA//8DAFBLAwQUAAYA&#10;CAAAACEAc1PnweEAAAAMAQAADwAAAGRycy9kb3ducmV2LnhtbEyPwU7DMBBE70j8g7VI3KidtI0g&#10;ZFMhFITUniggxM1NFidqvI5itw1/j3sqx9kZzb4pVpPtxZFG3zlGSGYKBHHtmo4Nwsf7y909CB80&#10;N7p3TAi/5GFVXl8VOm/cid/ouA1GxBL2uUZoQxhyKX3dktV+5gbi6P240eoQ5WhkM+pTLLe9TJXK&#10;pNUdxw+tHui5pXq/PViEas2vtDFzs15w9eWq5V5/fivE25vp6RFEoClcwnDGj+hQRqadO3DjRY+Q&#10;piqiB4QsTTIQ50QyX8R5O4SHZTzJspD/R5R/AAAA//8DAFBLAQItABQABgAIAAAAIQC2gziS/gAA&#10;AOEBAAATAAAAAAAAAAAAAAAAAAAAAABbQ29udGVudF9UeXBlc10ueG1sUEsBAi0AFAAGAAgAAAAh&#10;ADj9If/WAAAAlAEAAAsAAAAAAAAAAAAAAAAALwEAAF9yZWxzLy5yZWxzUEsBAi0AFAAGAAgAAAAh&#10;AIo4f8iEAgAAaQUAAA4AAAAAAAAAAAAAAAAALgIAAGRycy9lMm9Eb2MueG1sUEsBAi0AFAAGAAgA&#10;AAAhAHNT58HhAAAADAEAAA8AAAAAAAAAAAAAAAAA3gQAAGRycy9kb3ducmV2LnhtbFBLBQYAAAAA&#10;BAAEAPMAAADsBQAAAAA=&#10;" filled="f" stroked="f" strokeweight=".5pt">
                    <v:textbox inset="126pt,0,54pt,0">
                      <w:txbxContent>
                        <w:p w:rsidR="00DD56F6" w:rsidRDefault="00CC0069">
                          <w:pPr>
                            <w:jc w:val="right"/>
                            <w:rPr>
                              <w:color w:val="4A66AC" w:themeColor="accent1"/>
                              <w:sz w:val="64"/>
                              <w:szCs w:val="64"/>
                            </w:rPr>
                          </w:pPr>
                          <w:sdt>
                            <w:sdtPr>
                              <w:rPr>
                                <w:caps/>
                                <w:color w:val="4A66AC"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233F">
                                <w:rPr>
                                  <w:caps/>
                                  <w:color w:val="4A66AC" w:themeColor="accent1"/>
                                  <w:sz w:val="44"/>
                                  <w:szCs w:val="44"/>
                                  <w:lang w:val="en-CA"/>
                                </w:rPr>
                                <w:t>Biosafety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D56F6" w:rsidRDefault="00D84FA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anchorx="page" anchory="page"/>
                  </v:shape>
                </w:pict>
              </mc:Fallback>
            </mc:AlternateContent>
          </w:r>
          <w:r w:rsidR="00DD56F6" w:rsidRPr="0025775E">
            <w:rPr>
              <w:rFonts w:cs="Arial"/>
              <w:noProof/>
              <w:color w:val="242852" w:themeColor="text2"/>
              <w:lang w:val="en-CA" w:eastAsia="en-CA"/>
            </w:rPr>
            <w:drawing>
              <wp:anchor distT="0" distB="0" distL="114300" distR="114300" simplePos="0" relativeHeight="251663872" behindDoc="0" locked="0" layoutInCell="1" allowOverlap="1" wp14:anchorId="4ACE539F" wp14:editId="686AEA07">
                <wp:simplePos x="0" y="0"/>
                <wp:positionH relativeFrom="margin">
                  <wp:posOffset>251460</wp:posOffset>
                </wp:positionH>
                <wp:positionV relativeFrom="paragraph">
                  <wp:posOffset>853440</wp:posOffset>
                </wp:positionV>
                <wp:extent cx="1249680" cy="1717040"/>
                <wp:effectExtent l="0" t="0" r="7620" b="0"/>
                <wp:wrapNone/>
                <wp:docPr id="1" name="Picture 1" descr="cid:image001.png@01CDC410.EDE91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C410.EDE91A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9680"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6F6">
            <w:rPr>
              <w:b/>
              <w:sz w:val="24"/>
              <w:szCs w:val="24"/>
            </w:rPr>
            <w:br w:type="page"/>
          </w:r>
        </w:p>
      </w:sdtContent>
    </w:sdt>
    <w:tbl>
      <w:tblPr>
        <w:tblStyle w:val="TableGrid"/>
        <w:tblW w:w="0" w:type="auto"/>
        <w:tblLook w:val="04A0" w:firstRow="1" w:lastRow="0" w:firstColumn="1" w:lastColumn="0" w:noHBand="0" w:noVBand="1"/>
      </w:tblPr>
      <w:tblGrid>
        <w:gridCol w:w="9350"/>
      </w:tblGrid>
      <w:tr w:rsidR="00642C1F" w:rsidTr="00642C1F">
        <w:tc>
          <w:tcPr>
            <w:tcW w:w="9576" w:type="dxa"/>
            <w:shd w:val="clear" w:color="auto" w:fill="DFEBF5" w:themeFill="accent2" w:themeFillTint="33"/>
          </w:tcPr>
          <w:p w:rsidR="00642C1F" w:rsidRPr="00642C1F" w:rsidRDefault="00642C1F" w:rsidP="00DB121A">
            <w:pPr>
              <w:jc w:val="left"/>
              <w:rPr>
                <w:rFonts w:asciiTheme="minorHAnsi" w:hAnsiTheme="minorHAnsi"/>
                <w:b/>
                <w:sz w:val="28"/>
                <w:szCs w:val="28"/>
              </w:rPr>
            </w:pPr>
            <w:r w:rsidRPr="00642C1F">
              <w:rPr>
                <w:rFonts w:asciiTheme="minorHAnsi" w:hAnsiTheme="minorHAnsi"/>
                <w:b/>
                <w:sz w:val="28"/>
                <w:szCs w:val="28"/>
              </w:rPr>
              <w:lastRenderedPageBreak/>
              <w:t xml:space="preserve">General Instructions </w:t>
            </w:r>
          </w:p>
          <w:p w:rsidR="00642C1F" w:rsidRPr="00642C1F" w:rsidRDefault="00642C1F" w:rsidP="00DB121A">
            <w:pPr>
              <w:jc w:val="left"/>
              <w:rPr>
                <w:rFonts w:asciiTheme="minorHAnsi" w:hAnsiTheme="minorHAnsi"/>
                <w:szCs w:val="22"/>
              </w:rPr>
            </w:pPr>
          </w:p>
          <w:p w:rsidR="00642C1F" w:rsidRPr="00642C1F" w:rsidRDefault="00642C1F" w:rsidP="00DB121A">
            <w:pPr>
              <w:jc w:val="left"/>
              <w:rPr>
                <w:rFonts w:asciiTheme="minorHAnsi" w:hAnsiTheme="minorHAnsi"/>
                <w:szCs w:val="22"/>
              </w:rPr>
            </w:pPr>
            <w:r w:rsidRPr="00642C1F">
              <w:rPr>
                <w:rFonts w:asciiTheme="minorHAnsi" w:hAnsiTheme="minorHAnsi"/>
                <w:szCs w:val="22"/>
              </w:rPr>
              <w:t>Complete each section of the biosafety plan template. The biosafety plan should describe the equivalent risk group and containment level requirements for the organisms, biological materials, or biohazardous materials to be used. The biosafety plan should address all organism(s), biological materials and biohazardous materials under the biosafety permit. Do not create a separate biosafety plan for each type of permitted material.</w:t>
            </w:r>
          </w:p>
          <w:p w:rsidR="00642C1F" w:rsidRPr="00642C1F" w:rsidRDefault="00642C1F" w:rsidP="00DB121A">
            <w:pPr>
              <w:jc w:val="left"/>
              <w:rPr>
                <w:rFonts w:asciiTheme="minorHAnsi" w:hAnsiTheme="minorHAnsi"/>
                <w:szCs w:val="22"/>
              </w:rPr>
            </w:pPr>
          </w:p>
          <w:p w:rsidR="00642C1F" w:rsidRPr="00642C1F" w:rsidRDefault="00642C1F" w:rsidP="00DB121A">
            <w:pPr>
              <w:jc w:val="left"/>
              <w:rPr>
                <w:rFonts w:asciiTheme="minorHAnsi" w:hAnsiTheme="minorHAnsi"/>
                <w:szCs w:val="22"/>
              </w:rPr>
            </w:pPr>
            <w:r w:rsidRPr="00642C1F">
              <w:rPr>
                <w:rFonts w:asciiTheme="minorHAnsi" w:hAnsiTheme="minorHAnsi"/>
                <w:szCs w:val="22"/>
              </w:rPr>
              <w:t xml:space="preserve">Refer to the resources included in each section of the template for further information and to assist in the development of the biosafety plan. For assistance preparing a biosafety plan, contact the Biosafety Officer, Safety Services. </w:t>
            </w:r>
          </w:p>
          <w:p w:rsidR="00642C1F" w:rsidRDefault="00642C1F" w:rsidP="00E36A06">
            <w:pPr>
              <w:pStyle w:val="Heading1"/>
              <w:outlineLvl w:val="0"/>
            </w:pPr>
          </w:p>
        </w:tc>
      </w:tr>
    </w:tbl>
    <w:p w:rsidR="00E36A06" w:rsidRDefault="00E36A06" w:rsidP="00E36A06">
      <w:pPr>
        <w:pStyle w:val="Heading1"/>
      </w:pPr>
    </w:p>
    <w:p w:rsidR="00E36A06" w:rsidRDefault="00E36A06" w:rsidP="00E36A06"/>
    <w:p w:rsidR="00E36A06" w:rsidRDefault="00E36A06" w:rsidP="00E36A06"/>
    <w:sdt>
      <w:sdtPr>
        <w:rPr>
          <w:rFonts w:ascii="Arial" w:eastAsia="Times New Roman" w:hAnsi="Arial" w:cstheme="minorBidi"/>
          <w:bCs w:val="0"/>
          <w:kern w:val="0"/>
          <w:sz w:val="22"/>
          <w:szCs w:val="20"/>
        </w:rPr>
        <w:id w:val="-2059159186"/>
        <w:docPartObj>
          <w:docPartGallery w:val="Table of Contents"/>
          <w:docPartUnique/>
        </w:docPartObj>
      </w:sdtPr>
      <w:sdtEndPr>
        <w:rPr>
          <w:b/>
          <w:noProof/>
        </w:rPr>
      </w:sdtEndPr>
      <w:sdtContent>
        <w:p w:rsidR="00D75C97" w:rsidRDefault="00D75C97">
          <w:pPr>
            <w:pStyle w:val="TOCHeading"/>
          </w:pPr>
          <w:r>
            <w:t>Contents</w:t>
          </w:r>
        </w:p>
        <w:p w:rsidR="00D75C97" w:rsidRDefault="00D75C97">
          <w:pPr>
            <w:pStyle w:val="TOC1"/>
            <w:tabs>
              <w:tab w:val="left" w:pos="440"/>
              <w:tab w:val="right" w:leader="dot" w:pos="9350"/>
            </w:tabs>
            <w:rPr>
              <w:rFonts w:asciiTheme="minorHAnsi" w:eastAsiaTheme="minorEastAsia" w:hAnsiTheme="minorHAnsi"/>
              <w:noProof/>
              <w:szCs w:val="22"/>
              <w:lang w:val="en-CA" w:eastAsia="en-CA"/>
            </w:rPr>
          </w:pPr>
          <w:r>
            <w:fldChar w:fldCharType="begin"/>
          </w:r>
          <w:r>
            <w:instrText xml:space="preserve"> TOC \o "1-3" \h \z \u </w:instrText>
          </w:r>
          <w:r>
            <w:fldChar w:fldCharType="separate"/>
          </w:r>
          <w:hyperlink w:anchor="_Toc516573333" w:history="1">
            <w:r w:rsidRPr="0021748B">
              <w:rPr>
                <w:rStyle w:val="Hyperlink"/>
                <w:noProof/>
              </w:rPr>
              <w:t>1.</w:t>
            </w:r>
            <w:r>
              <w:rPr>
                <w:rFonts w:asciiTheme="minorHAnsi" w:eastAsiaTheme="minorEastAsia" w:hAnsiTheme="minorHAnsi"/>
                <w:noProof/>
                <w:szCs w:val="22"/>
                <w:lang w:val="en-CA" w:eastAsia="en-CA"/>
              </w:rPr>
              <w:tab/>
            </w:r>
            <w:r w:rsidRPr="0021748B">
              <w:rPr>
                <w:rStyle w:val="Hyperlink"/>
                <w:noProof/>
              </w:rPr>
              <w:t>Biosafety Permit Information</w:t>
            </w:r>
            <w:r>
              <w:rPr>
                <w:noProof/>
                <w:webHidden/>
              </w:rPr>
              <w:tab/>
            </w:r>
            <w:r>
              <w:rPr>
                <w:noProof/>
                <w:webHidden/>
              </w:rPr>
              <w:fldChar w:fldCharType="begin"/>
            </w:r>
            <w:r>
              <w:rPr>
                <w:noProof/>
                <w:webHidden/>
              </w:rPr>
              <w:instrText xml:space="preserve"> PAGEREF _Toc516573333 \h </w:instrText>
            </w:r>
            <w:r>
              <w:rPr>
                <w:noProof/>
                <w:webHidden/>
              </w:rPr>
            </w:r>
            <w:r>
              <w:rPr>
                <w:noProof/>
                <w:webHidden/>
              </w:rPr>
              <w:fldChar w:fldCharType="separate"/>
            </w:r>
            <w:r>
              <w:rPr>
                <w:noProof/>
                <w:webHidden/>
              </w:rPr>
              <w:t>2</w:t>
            </w:r>
            <w:r>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34" w:history="1">
            <w:r w:rsidR="00D75C97" w:rsidRPr="0021748B">
              <w:rPr>
                <w:rStyle w:val="Hyperlink"/>
                <w:noProof/>
              </w:rPr>
              <w:t>2.</w:t>
            </w:r>
            <w:r w:rsidR="00D75C97">
              <w:rPr>
                <w:rFonts w:asciiTheme="minorHAnsi" w:eastAsiaTheme="minorEastAsia" w:hAnsiTheme="minorHAnsi"/>
                <w:noProof/>
                <w:szCs w:val="22"/>
                <w:lang w:val="en-CA" w:eastAsia="en-CA"/>
              </w:rPr>
              <w:tab/>
            </w:r>
            <w:r w:rsidR="00D75C97" w:rsidRPr="0021748B">
              <w:rPr>
                <w:rStyle w:val="Hyperlink"/>
                <w:noProof/>
              </w:rPr>
              <w:t>Nature of Research Work</w:t>
            </w:r>
            <w:r w:rsidR="00D75C97">
              <w:rPr>
                <w:noProof/>
                <w:webHidden/>
              </w:rPr>
              <w:tab/>
            </w:r>
            <w:r w:rsidR="00D75C97">
              <w:rPr>
                <w:noProof/>
                <w:webHidden/>
              </w:rPr>
              <w:fldChar w:fldCharType="begin"/>
            </w:r>
            <w:r w:rsidR="00D75C97">
              <w:rPr>
                <w:noProof/>
                <w:webHidden/>
              </w:rPr>
              <w:instrText xml:space="preserve"> PAGEREF _Toc516573334 \h </w:instrText>
            </w:r>
            <w:r w:rsidR="00D75C97">
              <w:rPr>
                <w:noProof/>
                <w:webHidden/>
              </w:rPr>
            </w:r>
            <w:r w:rsidR="00D75C97">
              <w:rPr>
                <w:noProof/>
                <w:webHidden/>
              </w:rPr>
              <w:fldChar w:fldCharType="separate"/>
            </w:r>
            <w:r w:rsidR="00D75C97">
              <w:rPr>
                <w:noProof/>
                <w:webHidden/>
              </w:rPr>
              <w:t>3</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35" w:history="1">
            <w:r w:rsidR="00D75C97" w:rsidRPr="0021748B">
              <w:rPr>
                <w:rStyle w:val="Hyperlink"/>
                <w:noProof/>
              </w:rPr>
              <w:t>3.</w:t>
            </w:r>
            <w:r w:rsidR="00D75C97">
              <w:rPr>
                <w:rFonts w:asciiTheme="minorHAnsi" w:eastAsiaTheme="minorEastAsia" w:hAnsiTheme="minorHAnsi"/>
                <w:noProof/>
                <w:szCs w:val="22"/>
                <w:lang w:val="en-CA" w:eastAsia="en-CA"/>
              </w:rPr>
              <w:tab/>
            </w:r>
            <w:r w:rsidR="00D75C97" w:rsidRPr="0021748B">
              <w:rPr>
                <w:rStyle w:val="Hyperlink"/>
                <w:noProof/>
              </w:rPr>
              <w:t>Biological Risk Assessment</w:t>
            </w:r>
            <w:r w:rsidR="00D75C97">
              <w:rPr>
                <w:noProof/>
                <w:webHidden/>
              </w:rPr>
              <w:tab/>
            </w:r>
            <w:r w:rsidR="00D75C97">
              <w:rPr>
                <w:noProof/>
                <w:webHidden/>
              </w:rPr>
              <w:fldChar w:fldCharType="begin"/>
            </w:r>
            <w:r w:rsidR="00D75C97">
              <w:rPr>
                <w:noProof/>
                <w:webHidden/>
              </w:rPr>
              <w:instrText xml:space="preserve"> PAGEREF _Toc516573335 \h </w:instrText>
            </w:r>
            <w:r w:rsidR="00D75C97">
              <w:rPr>
                <w:noProof/>
                <w:webHidden/>
              </w:rPr>
            </w:r>
            <w:r w:rsidR="00D75C97">
              <w:rPr>
                <w:noProof/>
                <w:webHidden/>
              </w:rPr>
              <w:fldChar w:fldCharType="separate"/>
            </w:r>
            <w:r w:rsidR="00D75C97">
              <w:rPr>
                <w:noProof/>
                <w:webHidden/>
              </w:rPr>
              <w:t>4</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36" w:history="1">
            <w:r w:rsidR="00D75C97" w:rsidRPr="0021748B">
              <w:rPr>
                <w:rStyle w:val="Hyperlink"/>
                <w:noProof/>
              </w:rPr>
              <w:t>4.</w:t>
            </w:r>
            <w:r w:rsidR="00D75C97">
              <w:rPr>
                <w:rFonts w:asciiTheme="minorHAnsi" w:eastAsiaTheme="minorEastAsia" w:hAnsiTheme="minorHAnsi"/>
                <w:noProof/>
                <w:szCs w:val="22"/>
                <w:lang w:val="en-CA" w:eastAsia="en-CA"/>
              </w:rPr>
              <w:tab/>
            </w:r>
            <w:r w:rsidR="00D75C97" w:rsidRPr="0021748B">
              <w:rPr>
                <w:rStyle w:val="Hyperlink"/>
                <w:noProof/>
              </w:rPr>
              <w:t>Work Locations</w:t>
            </w:r>
            <w:r w:rsidR="00D75C97">
              <w:rPr>
                <w:noProof/>
                <w:webHidden/>
              </w:rPr>
              <w:tab/>
            </w:r>
            <w:r w:rsidR="00D75C97">
              <w:rPr>
                <w:noProof/>
                <w:webHidden/>
              </w:rPr>
              <w:fldChar w:fldCharType="begin"/>
            </w:r>
            <w:r w:rsidR="00D75C97">
              <w:rPr>
                <w:noProof/>
                <w:webHidden/>
              </w:rPr>
              <w:instrText xml:space="preserve"> PAGEREF _Toc516573336 \h </w:instrText>
            </w:r>
            <w:r w:rsidR="00D75C97">
              <w:rPr>
                <w:noProof/>
                <w:webHidden/>
              </w:rPr>
            </w:r>
            <w:r w:rsidR="00D75C97">
              <w:rPr>
                <w:noProof/>
                <w:webHidden/>
              </w:rPr>
              <w:fldChar w:fldCharType="separate"/>
            </w:r>
            <w:r w:rsidR="00D75C97">
              <w:rPr>
                <w:noProof/>
                <w:webHidden/>
              </w:rPr>
              <w:t>6</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37" w:history="1">
            <w:r w:rsidR="00D75C97" w:rsidRPr="0021748B">
              <w:rPr>
                <w:rStyle w:val="Hyperlink"/>
                <w:noProof/>
              </w:rPr>
              <w:t>5.</w:t>
            </w:r>
            <w:r w:rsidR="00D75C97">
              <w:rPr>
                <w:rFonts w:asciiTheme="minorHAnsi" w:eastAsiaTheme="minorEastAsia" w:hAnsiTheme="minorHAnsi"/>
                <w:noProof/>
                <w:szCs w:val="22"/>
                <w:lang w:val="en-CA" w:eastAsia="en-CA"/>
              </w:rPr>
              <w:tab/>
            </w:r>
            <w:r w:rsidR="00D75C97" w:rsidRPr="0021748B">
              <w:rPr>
                <w:rStyle w:val="Hyperlink"/>
                <w:noProof/>
              </w:rPr>
              <w:t>Health and Safety Hazards</w:t>
            </w:r>
            <w:r w:rsidR="00D75C97">
              <w:rPr>
                <w:noProof/>
                <w:webHidden/>
              </w:rPr>
              <w:tab/>
            </w:r>
            <w:r w:rsidR="00D75C97">
              <w:rPr>
                <w:noProof/>
                <w:webHidden/>
              </w:rPr>
              <w:fldChar w:fldCharType="begin"/>
            </w:r>
            <w:r w:rsidR="00D75C97">
              <w:rPr>
                <w:noProof/>
                <w:webHidden/>
              </w:rPr>
              <w:instrText xml:space="preserve"> PAGEREF _Toc516573337 \h </w:instrText>
            </w:r>
            <w:r w:rsidR="00D75C97">
              <w:rPr>
                <w:noProof/>
                <w:webHidden/>
              </w:rPr>
            </w:r>
            <w:r w:rsidR="00D75C97">
              <w:rPr>
                <w:noProof/>
                <w:webHidden/>
              </w:rPr>
              <w:fldChar w:fldCharType="separate"/>
            </w:r>
            <w:r w:rsidR="00D75C97">
              <w:rPr>
                <w:noProof/>
                <w:webHidden/>
              </w:rPr>
              <w:t>8</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38" w:history="1">
            <w:r w:rsidR="00D75C97" w:rsidRPr="0021748B">
              <w:rPr>
                <w:rStyle w:val="Hyperlink"/>
                <w:noProof/>
              </w:rPr>
              <w:t>6.</w:t>
            </w:r>
            <w:r w:rsidR="00D75C97">
              <w:rPr>
                <w:rFonts w:asciiTheme="minorHAnsi" w:eastAsiaTheme="minorEastAsia" w:hAnsiTheme="minorHAnsi"/>
                <w:noProof/>
                <w:szCs w:val="22"/>
                <w:lang w:val="en-CA" w:eastAsia="en-CA"/>
              </w:rPr>
              <w:tab/>
            </w:r>
            <w:r w:rsidR="00D75C97" w:rsidRPr="0021748B">
              <w:rPr>
                <w:rStyle w:val="Hyperlink"/>
                <w:noProof/>
              </w:rPr>
              <w:t>Health and Safety Control Measures</w:t>
            </w:r>
            <w:r w:rsidR="00D75C97">
              <w:rPr>
                <w:noProof/>
                <w:webHidden/>
              </w:rPr>
              <w:tab/>
            </w:r>
            <w:r w:rsidR="00D75C97">
              <w:rPr>
                <w:noProof/>
                <w:webHidden/>
              </w:rPr>
              <w:fldChar w:fldCharType="begin"/>
            </w:r>
            <w:r w:rsidR="00D75C97">
              <w:rPr>
                <w:noProof/>
                <w:webHidden/>
              </w:rPr>
              <w:instrText xml:space="preserve"> PAGEREF _Toc516573338 \h </w:instrText>
            </w:r>
            <w:r w:rsidR="00D75C97">
              <w:rPr>
                <w:noProof/>
                <w:webHidden/>
              </w:rPr>
            </w:r>
            <w:r w:rsidR="00D75C97">
              <w:rPr>
                <w:noProof/>
                <w:webHidden/>
              </w:rPr>
              <w:fldChar w:fldCharType="separate"/>
            </w:r>
            <w:r w:rsidR="00D75C97">
              <w:rPr>
                <w:noProof/>
                <w:webHidden/>
              </w:rPr>
              <w:t>9</w:t>
            </w:r>
            <w:r w:rsidR="00D75C97">
              <w:rPr>
                <w:noProof/>
                <w:webHidden/>
              </w:rPr>
              <w:fldChar w:fldCharType="end"/>
            </w:r>
          </w:hyperlink>
        </w:p>
        <w:p w:rsidR="00D75C97" w:rsidRDefault="007D0ACE" w:rsidP="00D75C97">
          <w:pPr>
            <w:pStyle w:val="TOC1"/>
            <w:tabs>
              <w:tab w:val="left" w:pos="440"/>
              <w:tab w:val="right" w:leader="dot" w:pos="9350"/>
            </w:tabs>
            <w:rPr>
              <w:rFonts w:asciiTheme="minorHAnsi" w:eastAsiaTheme="minorEastAsia" w:hAnsiTheme="minorHAnsi"/>
              <w:noProof/>
              <w:szCs w:val="22"/>
              <w:lang w:val="en-CA" w:eastAsia="en-CA"/>
            </w:rPr>
          </w:pPr>
          <w:hyperlink w:anchor="_Toc516573339" w:history="1">
            <w:r w:rsidR="00D75C97" w:rsidRPr="0021748B">
              <w:rPr>
                <w:rStyle w:val="Hyperlink"/>
                <w:noProof/>
              </w:rPr>
              <w:t>7.</w:t>
            </w:r>
            <w:r w:rsidR="00D75C97">
              <w:rPr>
                <w:rFonts w:asciiTheme="minorHAnsi" w:eastAsiaTheme="minorEastAsia" w:hAnsiTheme="minorHAnsi"/>
                <w:noProof/>
                <w:szCs w:val="22"/>
                <w:lang w:val="en-CA" w:eastAsia="en-CA"/>
              </w:rPr>
              <w:tab/>
            </w:r>
            <w:r w:rsidR="00D75C97" w:rsidRPr="0021748B">
              <w:rPr>
                <w:rStyle w:val="Hyperlink"/>
                <w:noProof/>
              </w:rPr>
              <w:t>Potential for Dual Use Research</w:t>
            </w:r>
            <w:r w:rsidR="00D75C97">
              <w:rPr>
                <w:noProof/>
                <w:webHidden/>
              </w:rPr>
              <w:tab/>
            </w:r>
            <w:r w:rsidR="00D75C97">
              <w:rPr>
                <w:noProof/>
                <w:webHidden/>
              </w:rPr>
              <w:fldChar w:fldCharType="begin"/>
            </w:r>
            <w:r w:rsidR="00D75C97">
              <w:rPr>
                <w:noProof/>
                <w:webHidden/>
              </w:rPr>
              <w:instrText xml:space="preserve"> PAGEREF _Toc516573339 \h </w:instrText>
            </w:r>
            <w:r w:rsidR="00D75C97">
              <w:rPr>
                <w:noProof/>
                <w:webHidden/>
              </w:rPr>
            </w:r>
            <w:r w:rsidR="00D75C97">
              <w:rPr>
                <w:noProof/>
                <w:webHidden/>
              </w:rPr>
              <w:fldChar w:fldCharType="separate"/>
            </w:r>
            <w:r w:rsidR="00D75C97">
              <w:rPr>
                <w:noProof/>
                <w:webHidden/>
              </w:rPr>
              <w:t>10</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41" w:history="1">
            <w:r w:rsidR="00D75C97" w:rsidRPr="0021748B">
              <w:rPr>
                <w:rStyle w:val="Hyperlink"/>
                <w:noProof/>
              </w:rPr>
              <w:t>8.</w:t>
            </w:r>
            <w:r w:rsidR="00D75C97">
              <w:rPr>
                <w:rFonts w:asciiTheme="minorHAnsi" w:eastAsiaTheme="minorEastAsia" w:hAnsiTheme="minorHAnsi"/>
                <w:noProof/>
                <w:szCs w:val="22"/>
                <w:lang w:val="en-CA" w:eastAsia="en-CA"/>
              </w:rPr>
              <w:tab/>
            </w:r>
            <w:r w:rsidR="00D75C97" w:rsidRPr="0021748B">
              <w:rPr>
                <w:rStyle w:val="Hyperlink"/>
                <w:noProof/>
              </w:rPr>
              <w:t>Biosecurity</w:t>
            </w:r>
            <w:r w:rsidR="00D75C97">
              <w:rPr>
                <w:noProof/>
                <w:webHidden/>
              </w:rPr>
              <w:tab/>
            </w:r>
            <w:r w:rsidR="00D75C97">
              <w:rPr>
                <w:noProof/>
                <w:webHidden/>
              </w:rPr>
              <w:fldChar w:fldCharType="begin"/>
            </w:r>
            <w:r w:rsidR="00D75C97">
              <w:rPr>
                <w:noProof/>
                <w:webHidden/>
              </w:rPr>
              <w:instrText xml:space="preserve"> PAGEREF _Toc516573341 \h </w:instrText>
            </w:r>
            <w:r w:rsidR="00D75C97">
              <w:rPr>
                <w:noProof/>
                <w:webHidden/>
              </w:rPr>
            </w:r>
            <w:r w:rsidR="00D75C97">
              <w:rPr>
                <w:noProof/>
                <w:webHidden/>
              </w:rPr>
              <w:fldChar w:fldCharType="separate"/>
            </w:r>
            <w:r w:rsidR="00D75C97">
              <w:rPr>
                <w:noProof/>
                <w:webHidden/>
              </w:rPr>
              <w:t>12</w:t>
            </w:r>
            <w:r w:rsidR="00D75C97">
              <w:rPr>
                <w:noProof/>
                <w:webHidden/>
              </w:rPr>
              <w:fldChar w:fldCharType="end"/>
            </w:r>
          </w:hyperlink>
        </w:p>
        <w:p w:rsidR="00D75C97" w:rsidRDefault="007D0ACE">
          <w:pPr>
            <w:pStyle w:val="TOC1"/>
            <w:tabs>
              <w:tab w:val="left" w:pos="440"/>
              <w:tab w:val="right" w:leader="dot" w:pos="9350"/>
            </w:tabs>
            <w:rPr>
              <w:rFonts w:asciiTheme="minorHAnsi" w:eastAsiaTheme="minorEastAsia" w:hAnsiTheme="minorHAnsi"/>
              <w:noProof/>
              <w:szCs w:val="22"/>
              <w:lang w:val="en-CA" w:eastAsia="en-CA"/>
            </w:rPr>
          </w:pPr>
          <w:hyperlink w:anchor="_Toc516573342" w:history="1">
            <w:r w:rsidR="00D75C97" w:rsidRPr="0021748B">
              <w:rPr>
                <w:rStyle w:val="Hyperlink"/>
                <w:noProof/>
              </w:rPr>
              <w:t>9.</w:t>
            </w:r>
            <w:r w:rsidR="00D75C97">
              <w:rPr>
                <w:rFonts w:asciiTheme="minorHAnsi" w:eastAsiaTheme="minorEastAsia" w:hAnsiTheme="minorHAnsi"/>
                <w:noProof/>
                <w:szCs w:val="22"/>
                <w:lang w:val="en-CA" w:eastAsia="en-CA"/>
              </w:rPr>
              <w:tab/>
            </w:r>
            <w:r w:rsidR="00D75C97" w:rsidRPr="0021748B">
              <w:rPr>
                <w:rStyle w:val="Hyperlink"/>
                <w:noProof/>
              </w:rPr>
              <w:t>Hazardous Waste Disposal</w:t>
            </w:r>
            <w:r w:rsidR="00D75C97">
              <w:rPr>
                <w:noProof/>
                <w:webHidden/>
              </w:rPr>
              <w:tab/>
            </w:r>
            <w:r w:rsidR="00D75C97">
              <w:rPr>
                <w:noProof/>
                <w:webHidden/>
              </w:rPr>
              <w:fldChar w:fldCharType="begin"/>
            </w:r>
            <w:r w:rsidR="00D75C97">
              <w:rPr>
                <w:noProof/>
                <w:webHidden/>
              </w:rPr>
              <w:instrText xml:space="preserve"> PAGEREF _Toc516573342 \h </w:instrText>
            </w:r>
            <w:r w:rsidR="00D75C97">
              <w:rPr>
                <w:noProof/>
                <w:webHidden/>
              </w:rPr>
            </w:r>
            <w:r w:rsidR="00D75C97">
              <w:rPr>
                <w:noProof/>
                <w:webHidden/>
              </w:rPr>
              <w:fldChar w:fldCharType="separate"/>
            </w:r>
            <w:r w:rsidR="00D75C97">
              <w:rPr>
                <w:noProof/>
                <w:webHidden/>
              </w:rPr>
              <w:t>13</w:t>
            </w:r>
            <w:r w:rsidR="00D75C97">
              <w:rPr>
                <w:noProof/>
                <w:webHidden/>
              </w:rPr>
              <w:fldChar w:fldCharType="end"/>
            </w:r>
          </w:hyperlink>
        </w:p>
        <w:p w:rsidR="00D75C97" w:rsidRDefault="007D0ACE">
          <w:pPr>
            <w:pStyle w:val="TOC1"/>
            <w:tabs>
              <w:tab w:val="left" w:pos="660"/>
              <w:tab w:val="right" w:leader="dot" w:pos="9350"/>
            </w:tabs>
            <w:rPr>
              <w:rFonts w:asciiTheme="minorHAnsi" w:eastAsiaTheme="minorEastAsia" w:hAnsiTheme="minorHAnsi"/>
              <w:noProof/>
              <w:szCs w:val="22"/>
              <w:lang w:val="en-CA" w:eastAsia="en-CA"/>
            </w:rPr>
          </w:pPr>
          <w:hyperlink w:anchor="_Toc516573343" w:history="1">
            <w:r w:rsidR="00D75C97" w:rsidRPr="0021748B">
              <w:rPr>
                <w:rStyle w:val="Hyperlink"/>
                <w:noProof/>
              </w:rPr>
              <w:t>10.</w:t>
            </w:r>
            <w:r w:rsidR="00CC0069">
              <w:rPr>
                <w:rFonts w:asciiTheme="minorHAnsi" w:eastAsiaTheme="minorEastAsia" w:hAnsiTheme="minorHAnsi"/>
                <w:noProof/>
                <w:szCs w:val="22"/>
                <w:lang w:val="en-CA" w:eastAsia="en-CA"/>
              </w:rPr>
              <w:t xml:space="preserve">   </w:t>
            </w:r>
            <w:r w:rsidR="00D75C97" w:rsidRPr="0021748B">
              <w:rPr>
                <w:rStyle w:val="Hyperlink"/>
                <w:noProof/>
              </w:rPr>
              <w:t>Emergency Response</w:t>
            </w:r>
            <w:r w:rsidR="00D75C97">
              <w:rPr>
                <w:noProof/>
                <w:webHidden/>
              </w:rPr>
              <w:tab/>
            </w:r>
            <w:r w:rsidR="00D75C97">
              <w:rPr>
                <w:noProof/>
                <w:webHidden/>
              </w:rPr>
              <w:fldChar w:fldCharType="begin"/>
            </w:r>
            <w:r w:rsidR="00D75C97">
              <w:rPr>
                <w:noProof/>
                <w:webHidden/>
              </w:rPr>
              <w:instrText xml:space="preserve"> PAGEREF _Toc516573343 \h </w:instrText>
            </w:r>
            <w:r w:rsidR="00D75C97">
              <w:rPr>
                <w:noProof/>
                <w:webHidden/>
              </w:rPr>
            </w:r>
            <w:r w:rsidR="00D75C97">
              <w:rPr>
                <w:noProof/>
                <w:webHidden/>
              </w:rPr>
              <w:fldChar w:fldCharType="separate"/>
            </w:r>
            <w:r w:rsidR="00D75C97">
              <w:rPr>
                <w:noProof/>
                <w:webHidden/>
              </w:rPr>
              <w:t>14</w:t>
            </w:r>
            <w:r w:rsidR="00D75C97">
              <w:rPr>
                <w:noProof/>
                <w:webHidden/>
              </w:rPr>
              <w:fldChar w:fldCharType="end"/>
            </w:r>
          </w:hyperlink>
        </w:p>
        <w:p w:rsidR="00D75C97" w:rsidRDefault="00D75C97">
          <w:r>
            <w:rPr>
              <w:b/>
              <w:bCs/>
              <w:noProof/>
            </w:rPr>
            <w:fldChar w:fldCharType="end"/>
          </w:r>
        </w:p>
      </w:sdtContent>
    </w:sdt>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2E4BCC" w:rsidRDefault="002E4BCC" w:rsidP="00E36A06"/>
    <w:p w:rsidR="00537512" w:rsidRDefault="00537512" w:rsidP="00E36A06"/>
    <w:p w:rsidR="00537512" w:rsidRDefault="00537512" w:rsidP="00E36A06"/>
    <w:p w:rsidR="00537512" w:rsidRDefault="00537512" w:rsidP="00E36A06"/>
    <w:p w:rsidR="00537512" w:rsidRDefault="00537512" w:rsidP="00E36A06"/>
    <w:p w:rsidR="00537512" w:rsidRDefault="00537512" w:rsidP="00E36A06"/>
    <w:p w:rsidR="00537512" w:rsidRDefault="00537512" w:rsidP="00E36A06"/>
    <w:p w:rsidR="00537512" w:rsidRDefault="00537512" w:rsidP="00E36A06"/>
    <w:p w:rsidR="00537512" w:rsidRPr="00E36A06" w:rsidRDefault="00537512" w:rsidP="00E36A06"/>
    <w:p w:rsidR="0049081D" w:rsidRPr="008D09EC" w:rsidRDefault="0049081D" w:rsidP="008D09EC">
      <w:pPr>
        <w:pStyle w:val="Heading1"/>
        <w:numPr>
          <w:ilvl w:val="0"/>
          <w:numId w:val="24"/>
        </w:numPr>
      </w:pPr>
      <w:bookmarkStart w:id="0" w:name="_Toc516500693"/>
      <w:bookmarkStart w:id="1" w:name="_Toc516573333"/>
      <w:r w:rsidRPr="008D09EC">
        <w:t>Biosafety Permit Information</w:t>
      </w:r>
      <w:bookmarkEnd w:id="0"/>
      <w:bookmarkEnd w:id="1"/>
    </w:p>
    <w:p w:rsidR="0049081D" w:rsidRPr="0049081D" w:rsidRDefault="0049081D" w:rsidP="0049081D">
      <w:pPr>
        <w:rPr>
          <w:b/>
          <w:sz w:val="28"/>
          <w:szCs w:val="28"/>
        </w:rPr>
      </w:pPr>
    </w:p>
    <w:tbl>
      <w:tblPr>
        <w:tblStyle w:val="TableGrid"/>
        <w:tblW w:w="0" w:type="auto"/>
        <w:tblLook w:val="04A0" w:firstRow="1" w:lastRow="0" w:firstColumn="1" w:lastColumn="0" w:noHBand="0" w:noVBand="1"/>
      </w:tblPr>
      <w:tblGrid>
        <w:gridCol w:w="9350"/>
      </w:tblGrid>
      <w:tr w:rsidR="0049081D" w:rsidTr="00537512">
        <w:trPr>
          <w:trHeight w:val="432"/>
        </w:trPr>
        <w:tc>
          <w:tcPr>
            <w:tcW w:w="9350" w:type="dxa"/>
            <w:vAlign w:val="center"/>
          </w:tcPr>
          <w:p w:rsidR="0049081D" w:rsidRDefault="0049081D" w:rsidP="00350A5B">
            <w:pPr>
              <w:jc w:val="left"/>
            </w:pPr>
            <w:r>
              <w:t>Permit Holder Name:</w:t>
            </w:r>
          </w:p>
        </w:tc>
      </w:tr>
      <w:tr w:rsidR="0049081D" w:rsidTr="00537512">
        <w:trPr>
          <w:trHeight w:val="432"/>
        </w:trPr>
        <w:tc>
          <w:tcPr>
            <w:tcW w:w="9350" w:type="dxa"/>
            <w:vAlign w:val="center"/>
          </w:tcPr>
          <w:p w:rsidR="0049081D" w:rsidRDefault="0049081D" w:rsidP="00350A5B">
            <w:pPr>
              <w:jc w:val="left"/>
            </w:pPr>
            <w:r>
              <w:t>Permit Holder Telephone Number:</w:t>
            </w:r>
          </w:p>
        </w:tc>
      </w:tr>
      <w:tr w:rsidR="0049081D" w:rsidTr="00537512">
        <w:trPr>
          <w:trHeight w:val="432"/>
        </w:trPr>
        <w:tc>
          <w:tcPr>
            <w:tcW w:w="9350" w:type="dxa"/>
            <w:vAlign w:val="center"/>
          </w:tcPr>
          <w:p w:rsidR="0049081D" w:rsidRDefault="0049081D" w:rsidP="00350A5B">
            <w:pPr>
              <w:jc w:val="left"/>
            </w:pPr>
            <w:r>
              <w:t>Email:</w:t>
            </w:r>
          </w:p>
        </w:tc>
      </w:tr>
      <w:tr w:rsidR="0049081D" w:rsidTr="00537512">
        <w:trPr>
          <w:trHeight w:val="432"/>
        </w:trPr>
        <w:tc>
          <w:tcPr>
            <w:tcW w:w="9350" w:type="dxa"/>
            <w:vAlign w:val="center"/>
          </w:tcPr>
          <w:p w:rsidR="0049081D" w:rsidRDefault="00537512" w:rsidP="00350A5B">
            <w:pPr>
              <w:jc w:val="left"/>
            </w:pPr>
            <w:r>
              <w:t>Laboratory Room Number:</w:t>
            </w:r>
          </w:p>
        </w:tc>
      </w:tr>
      <w:tr w:rsidR="0049081D" w:rsidTr="00537512">
        <w:trPr>
          <w:trHeight w:val="432"/>
        </w:trPr>
        <w:tc>
          <w:tcPr>
            <w:tcW w:w="9350" w:type="dxa"/>
            <w:vAlign w:val="center"/>
          </w:tcPr>
          <w:p w:rsidR="0049081D" w:rsidRDefault="0049081D" w:rsidP="00350A5B">
            <w:pPr>
              <w:jc w:val="left"/>
            </w:pPr>
            <w:r>
              <w:t>Laboratory Contact Name:</w:t>
            </w:r>
          </w:p>
        </w:tc>
      </w:tr>
      <w:tr w:rsidR="0049081D" w:rsidTr="00537512">
        <w:trPr>
          <w:trHeight w:val="432"/>
        </w:trPr>
        <w:tc>
          <w:tcPr>
            <w:tcW w:w="9350" w:type="dxa"/>
            <w:vAlign w:val="center"/>
          </w:tcPr>
          <w:p w:rsidR="0049081D" w:rsidRDefault="0049081D" w:rsidP="00350A5B">
            <w:pPr>
              <w:jc w:val="left"/>
            </w:pPr>
            <w:r>
              <w:t>Laboratory Contact Telephone Number:</w:t>
            </w:r>
          </w:p>
        </w:tc>
      </w:tr>
      <w:tr w:rsidR="0049081D" w:rsidTr="00537512">
        <w:trPr>
          <w:trHeight w:val="432"/>
        </w:trPr>
        <w:tc>
          <w:tcPr>
            <w:tcW w:w="9350" w:type="dxa"/>
            <w:vAlign w:val="center"/>
          </w:tcPr>
          <w:p w:rsidR="0049081D" w:rsidRDefault="0049081D" w:rsidP="00350A5B">
            <w:pPr>
              <w:jc w:val="left"/>
            </w:pPr>
            <w:r>
              <w:t>Email:</w:t>
            </w:r>
          </w:p>
        </w:tc>
      </w:tr>
    </w:tbl>
    <w:p w:rsidR="0049081D" w:rsidRDefault="0049081D" w:rsidP="0049081D"/>
    <w:p w:rsidR="0049081D" w:rsidRDefault="0049081D" w:rsidP="00366405">
      <w:pPr>
        <w:spacing w:after="200" w:line="276" w:lineRule="auto"/>
        <w:jc w:val="left"/>
      </w:pPr>
      <w:r>
        <w:br w:type="page"/>
      </w:r>
    </w:p>
    <w:p w:rsidR="00366405" w:rsidRPr="008D09EC" w:rsidRDefault="00366405" w:rsidP="008D09EC">
      <w:pPr>
        <w:pStyle w:val="Heading1"/>
        <w:numPr>
          <w:ilvl w:val="0"/>
          <w:numId w:val="24"/>
        </w:numPr>
      </w:pPr>
      <w:bookmarkStart w:id="2" w:name="_Toc316631995"/>
      <w:bookmarkStart w:id="3" w:name="_Toc516500694"/>
      <w:bookmarkStart w:id="4" w:name="_Toc516573334"/>
      <w:r w:rsidRPr="008D09EC">
        <w:lastRenderedPageBreak/>
        <w:t>Nature of Research Work</w:t>
      </w:r>
      <w:bookmarkEnd w:id="2"/>
      <w:bookmarkEnd w:id="3"/>
      <w:bookmarkEnd w:id="4"/>
    </w:p>
    <w:p w:rsidR="007A3395" w:rsidRDefault="007A3395" w:rsidP="007A3395">
      <w:pPr>
        <w:spacing w:after="200" w:line="276" w:lineRule="auto"/>
        <w:jc w:val="left"/>
      </w:pPr>
    </w:p>
    <w:p w:rsidR="007A3395" w:rsidRPr="00226C1E" w:rsidRDefault="007A3395" w:rsidP="007A3395">
      <w:pPr>
        <w:pBdr>
          <w:top w:val="single" w:sz="4" w:space="1" w:color="auto"/>
          <w:left w:val="single" w:sz="4" w:space="4" w:color="auto"/>
          <w:bottom w:val="single" w:sz="4" w:space="1" w:color="auto"/>
          <w:right w:val="single" w:sz="4" w:space="4" w:color="auto"/>
        </w:pBdr>
        <w:shd w:val="clear" w:color="auto" w:fill="D9DFEF" w:themeFill="accent1" w:themeFillTint="33"/>
        <w:spacing w:after="200" w:line="276" w:lineRule="auto"/>
        <w:jc w:val="left"/>
        <w:rPr>
          <w:rFonts w:asciiTheme="minorHAnsi" w:hAnsiTheme="minorHAnsi"/>
          <w:b/>
          <w:sz w:val="28"/>
          <w:szCs w:val="28"/>
        </w:rPr>
      </w:pPr>
      <w:r w:rsidRPr="00226C1E">
        <w:rPr>
          <w:rFonts w:asciiTheme="minorHAnsi" w:hAnsiTheme="minorHAnsi"/>
          <w:b/>
          <w:sz w:val="28"/>
          <w:szCs w:val="28"/>
        </w:rPr>
        <w:t xml:space="preserve">Instructions: </w:t>
      </w:r>
    </w:p>
    <w:p w:rsidR="002A5EB4" w:rsidRPr="00226C1E" w:rsidRDefault="007A3395" w:rsidP="007A3395">
      <w:pPr>
        <w:pBdr>
          <w:top w:val="single" w:sz="4" w:space="1" w:color="auto"/>
          <w:left w:val="single" w:sz="4" w:space="4" w:color="auto"/>
          <w:bottom w:val="single" w:sz="4" w:space="1" w:color="auto"/>
          <w:right w:val="single" w:sz="4" w:space="4" w:color="auto"/>
        </w:pBdr>
        <w:shd w:val="clear" w:color="auto" w:fill="D9DFEF" w:themeFill="accent1" w:themeFillTint="33"/>
        <w:spacing w:after="200" w:line="276" w:lineRule="auto"/>
        <w:jc w:val="left"/>
        <w:rPr>
          <w:rFonts w:asciiTheme="minorHAnsi" w:hAnsiTheme="minorHAnsi"/>
          <w:szCs w:val="22"/>
        </w:rPr>
      </w:pPr>
      <w:r w:rsidRPr="00226C1E">
        <w:rPr>
          <w:rFonts w:asciiTheme="minorHAnsi" w:hAnsiTheme="minorHAnsi"/>
          <w:szCs w:val="22"/>
        </w:rPr>
        <w:t xml:space="preserve">Provide a </w:t>
      </w:r>
      <w:r w:rsidR="00226C1E">
        <w:rPr>
          <w:rFonts w:asciiTheme="minorHAnsi" w:hAnsiTheme="minorHAnsi"/>
          <w:szCs w:val="22"/>
        </w:rPr>
        <w:t xml:space="preserve">brief </w:t>
      </w:r>
      <w:r w:rsidRPr="00226C1E">
        <w:rPr>
          <w:rFonts w:asciiTheme="minorHAnsi" w:hAnsiTheme="minorHAnsi"/>
          <w:szCs w:val="22"/>
        </w:rPr>
        <w:t>description of the nature of the work that will be performed in the research protocol and under your biosafety permit. Reference any relevant documents.</w:t>
      </w:r>
    </w:p>
    <w:p w:rsidR="007A3395" w:rsidRPr="00366405" w:rsidRDefault="007A3395" w:rsidP="007A3395">
      <w:pPr>
        <w:spacing w:after="200" w:line="276" w:lineRule="auto"/>
        <w:jc w:val="left"/>
      </w:pPr>
    </w:p>
    <w:p w:rsidR="0049081D" w:rsidRDefault="00366405">
      <w:pPr>
        <w:spacing w:after="200" w:line="276" w:lineRule="auto"/>
        <w:jc w:val="left"/>
      </w:pPr>
      <w:r>
        <w:t>Enter text…….</w:t>
      </w:r>
    </w:p>
    <w:p w:rsidR="00215309" w:rsidRDefault="00215309" w:rsidP="007A3395">
      <w:pPr>
        <w:spacing w:after="200" w:line="276" w:lineRule="auto"/>
        <w:jc w:val="left"/>
      </w:pPr>
      <w:r>
        <w:br w:type="page"/>
      </w:r>
    </w:p>
    <w:p w:rsidR="00215309" w:rsidRPr="008D09EC" w:rsidRDefault="00AC6933" w:rsidP="008D09EC">
      <w:pPr>
        <w:pStyle w:val="Heading1"/>
        <w:numPr>
          <w:ilvl w:val="0"/>
          <w:numId w:val="24"/>
        </w:numPr>
      </w:pPr>
      <w:bookmarkStart w:id="5" w:name="_Toc516500695"/>
      <w:bookmarkStart w:id="6" w:name="_Toc516573335"/>
      <w:r>
        <w:lastRenderedPageBreak/>
        <w:t>Biological Risk</w:t>
      </w:r>
      <w:r w:rsidR="00215309" w:rsidRPr="008D09EC">
        <w:t xml:space="preserve"> Assessment</w:t>
      </w:r>
      <w:bookmarkEnd w:id="5"/>
      <w:bookmarkEnd w:id="6"/>
    </w:p>
    <w:tbl>
      <w:tblPr>
        <w:tblStyle w:val="TableGrid"/>
        <w:tblW w:w="0" w:type="auto"/>
        <w:shd w:val="pct10" w:color="auto" w:fill="auto"/>
        <w:tblLook w:val="04A0" w:firstRow="1" w:lastRow="0" w:firstColumn="1" w:lastColumn="0" w:noHBand="0" w:noVBand="1"/>
      </w:tblPr>
      <w:tblGrid>
        <w:gridCol w:w="9350"/>
      </w:tblGrid>
      <w:tr w:rsidR="00215309" w:rsidRPr="00215309" w:rsidTr="007A3395">
        <w:tc>
          <w:tcPr>
            <w:tcW w:w="9576" w:type="dxa"/>
            <w:shd w:val="clear" w:color="auto" w:fill="D9DFEF" w:themeFill="accent1" w:themeFillTint="33"/>
          </w:tcPr>
          <w:p w:rsidR="00215309" w:rsidRPr="00A17D06" w:rsidRDefault="00215309" w:rsidP="00274A8D">
            <w:pPr>
              <w:jc w:val="left"/>
              <w:rPr>
                <w:b/>
                <w:sz w:val="20"/>
              </w:rPr>
            </w:pPr>
            <w:r w:rsidRPr="00A17D06">
              <w:rPr>
                <w:b/>
                <w:sz w:val="20"/>
              </w:rPr>
              <w:t xml:space="preserve">Instructions: </w:t>
            </w:r>
          </w:p>
          <w:p w:rsidR="00215309" w:rsidRPr="00A17D06" w:rsidRDefault="00215309" w:rsidP="00274A8D">
            <w:pPr>
              <w:jc w:val="left"/>
              <w:rPr>
                <w:b/>
                <w:sz w:val="20"/>
              </w:rPr>
            </w:pPr>
          </w:p>
          <w:p w:rsidR="00215309" w:rsidRPr="00A17D06" w:rsidRDefault="00215309" w:rsidP="00274A8D">
            <w:pPr>
              <w:jc w:val="left"/>
              <w:rPr>
                <w:rFonts w:asciiTheme="minorHAnsi" w:hAnsiTheme="minorHAnsi"/>
                <w:sz w:val="20"/>
              </w:rPr>
            </w:pPr>
            <w:r w:rsidRPr="00A17D06">
              <w:rPr>
                <w:rFonts w:asciiTheme="minorHAnsi" w:hAnsiTheme="minorHAnsi"/>
                <w:sz w:val="20"/>
              </w:rPr>
              <w:t xml:space="preserve">The critical step in developing a biosafety plan is to determine the risk group and containment level for the organism, biological material or biohazardous material that is to be used. Listed below, are a number of resources that provide risk group and containment level information for a wide range of organisms and biohazardous materials. </w:t>
            </w:r>
          </w:p>
          <w:p w:rsidR="00274A8D" w:rsidRPr="00A17D06" w:rsidRDefault="00274A8D" w:rsidP="00274A8D">
            <w:pPr>
              <w:jc w:val="left"/>
              <w:rPr>
                <w:rFonts w:asciiTheme="minorHAnsi" w:hAnsiTheme="minorHAnsi"/>
                <w:i/>
                <w:sz w:val="20"/>
              </w:rPr>
            </w:pPr>
          </w:p>
          <w:p w:rsidR="00215309" w:rsidRPr="00A17D06" w:rsidRDefault="00215309" w:rsidP="00274A8D">
            <w:pPr>
              <w:numPr>
                <w:ilvl w:val="0"/>
                <w:numId w:val="1"/>
              </w:numPr>
              <w:jc w:val="left"/>
              <w:rPr>
                <w:rFonts w:asciiTheme="minorHAnsi" w:hAnsiTheme="minorHAnsi"/>
                <w:i/>
                <w:sz w:val="20"/>
              </w:rPr>
            </w:pPr>
            <w:r w:rsidRPr="00A17D06">
              <w:rPr>
                <w:rFonts w:asciiTheme="minorHAnsi" w:hAnsiTheme="minorHAnsi"/>
                <w:i/>
                <w:sz w:val="20"/>
              </w:rPr>
              <w:t>Human Pathogens and Toxins Act,</w:t>
            </w:r>
            <w:r w:rsidR="00226C1E" w:rsidRPr="00A17D06">
              <w:rPr>
                <w:rFonts w:asciiTheme="minorHAnsi" w:hAnsiTheme="minorHAnsi"/>
                <w:i/>
                <w:sz w:val="20"/>
              </w:rPr>
              <w:t xml:space="preserve"> Schedule 1-5</w:t>
            </w:r>
          </w:p>
          <w:p w:rsidR="00215309" w:rsidRPr="00A17D06" w:rsidRDefault="00274A8D" w:rsidP="00274A8D">
            <w:pPr>
              <w:jc w:val="left"/>
              <w:rPr>
                <w:rFonts w:asciiTheme="minorHAnsi" w:hAnsiTheme="minorHAnsi"/>
                <w:sz w:val="20"/>
              </w:rPr>
            </w:pPr>
            <w:r w:rsidRPr="00A17D06">
              <w:rPr>
                <w:rFonts w:asciiTheme="minorHAnsi" w:hAnsiTheme="minorHAnsi"/>
                <w:sz w:val="20"/>
              </w:rPr>
              <w:t xml:space="preserve">                   </w:t>
            </w:r>
            <w:r w:rsidR="00215309" w:rsidRPr="00A17D06">
              <w:rPr>
                <w:rFonts w:asciiTheme="minorHAnsi" w:hAnsiTheme="minorHAnsi"/>
                <w:sz w:val="20"/>
              </w:rPr>
              <w:t>(</w:t>
            </w:r>
            <w:hyperlink r:id="rId13" w:history="1">
              <w:r w:rsidR="00215309" w:rsidRPr="00A17D06">
                <w:rPr>
                  <w:rStyle w:val="Hyperlink"/>
                  <w:rFonts w:asciiTheme="minorHAnsi" w:hAnsiTheme="minorHAnsi"/>
                  <w:sz w:val="20"/>
                </w:rPr>
                <w:t>http://www.phac-aspc.gc.ca/lab-bio/regul/index-eng.php</w:t>
              </w:r>
            </w:hyperlink>
            <w:r w:rsidR="00215309" w:rsidRPr="00A17D06">
              <w:rPr>
                <w:rFonts w:asciiTheme="minorHAnsi" w:hAnsiTheme="minorHAnsi"/>
                <w:sz w:val="20"/>
              </w:rPr>
              <w:t>).</w:t>
            </w:r>
          </w:p>
          <w:p w:rsidR="00215309" w:rsidRPr="00A17D06" w:rsidRDefault="00215309" w:rsidP="00274A8D">
            <w:pPr>
              <w:numPr>
                <w:ilvl w:val="0"/>
                <w:numId w:val="1"/>
              </w:numPr>
              <w:jc w:val="left"/>
              <w:rPr>
                <w:rFonts w:asciiTheme="minorHAnsi" w:hAnsiTheme="minorHAnsi"/>
                <w:i/>
                <w:sz w:val="20"/>
              </w:rPr>
            </w:pPr>
            <w:r w:rsidRPr="00A17D06">
              <w:rPr>
                <w:rFonts w:asciiTheme="minorHAnsi" w:hAnsiTheme="minorHAnsi"/>
                <w:i/>
                <w:sz w:val="20"/>
              </w:rPr>
              <w:t xml:space="preserve">Pathogen Safety Data Sheets and Risk Assessment, </w:t>
            </w:r>
            <w:r w:rsidRPr="00A17D06">
              <w:rPr>
                <w:rFonts w:asciiTheme="minorHAnsi" w:hAnsiTheme="minorHAnsi"/>
                <w:sz w:val="20"/>
              </w:rPr>
              <w:t>PHAC</w:t>
            </w:r>
            <w:r w:rsidRPr="00A17D06">
              <w:rPr>
                <w:rFonts w:asciiTheme="minorHAnsi" w:hAnsiTheme="minorHAnsi"/>
                <w:i/>
                <w:sz w:val="20"/>
              </w:rPr>
              <w:t xml:space="preserve">, </w:t>
            </w:r>
          </w:p>
          <w:p w:rsidR="00215309" w:rsidRPr="00A17D06" w:rsidRDefault="00274A8D" w:rsidP="00274A8D">
            <w:pPr>
              <w:jc w:val="left"/>
              <w:rPr>
                <w:rFonts w:asciiTheme="minorHAnsi" w:hAnsiTheme="minorHAnsi"/>
                <w:sz w:val="20"/>
              </w:rPr>
            </w:pPr>
            <w:r w:rsidRPr="00A17D06">
              <w:rPr>
                <w:rFonts w:asciiTheme="minorHAnsi" w:hAnsiTheme="minorHAnsi"/>
                <w:sz w:val="20"/>
              </w:rPr>
              <w:t xml:space="preserve">                   </w:t>
            </w:r>
            <w:r w:rsidR="00215309" w:rsidRPr="00A17D06">
              <w:rPr>
                <w:rFonts w:asciiTheme="minorHAnsi" w:hAnsiTheme="minorHAnsi"/>
                <w:sz w:val="20"/>
              </w:rPr>
              <w:t>(</w:t>
            </w:r>
            <w:hyperlink r:id="rId14" w:history="1">
              <w:r w:rsidR="00215309" w:rsidRPr="00A17D06">
                <w:rPr>
                  <w:rStyle w:val="Hyperlink"/>
                  <w:rFonts w:asciiTheme="minorHAnsi" w:hAnsiTheme="minorHAnsi"/>
                  <w:sz w:val="20"/>
                </w:rPr>
                <w:t>http://www.phac-aspc.gc.ca/lab-bio/res/psds-ftss/index-eng.php</w:t>
              </w:r>
            </w:hyperlink>
            <w:r w:rsidR="00215309" w:rsidRPr="00A17D06">
              <w:rPr>
                <w:rFonts w:asciiTheme="minorHAnsi" w:hAnsiTheme="minorHAnsi"/>
                <w:sz w:val="20"/>
              </w:rPr>
              <w:t>).</w:t>
            </w:r>
          </w:p>
          <w:p w:rsidR="00274A8D" w:rsidRPr="00A17D06" w:rsidRDefault="00274A8D" w:rsidP="00274A8D">
            <w:pPr>
              <w:numPr>
                <w:ilvl w:val="0"/>
                <w:numId w:val="1"/>
              </w:numPr>
              <w:jc w:val="left"/>
              <w:rPr>
                <w:rFonts w:asciiTheme="minorHAnsi" w:hAnsiTheme="minorHAnsi"/>
                <w:i/>
                <w:sz w:val="20"/>
              </w:rPr>
            </w:pPr>
            <w:r w:rsidRPr="00A17D06">
              <w:rPr>
                <w:rFonts w:asciiTheme="minorHAnsi" w:hAnsiTheme="minorHAnsi"/>
                <w:i/>
                <w:sz w:val="20"/>
              </w:rPr>
              <w:t xml:space="preserve">Disease </w:t>
            </w:r>
            <w:r w:rsidR="00215309" w:rsidRPr="00A17D06">
              <w:rPr>
                <w:rFonts w:asciiTheme="minorHAnsi" w:hAnsiTheme="minorHAnsi"/>
                <w:i/>
                <w:sz w:val="20"/>
              </w:rPr>
              <w:t xml:space="preserve">Agent Information, </w:t>
            </w:r>
            <w:r w:rsidR="00215309" w:rsidRPr="00A17D06">
              <w:rPr>
                <w:rFonts w:asciiTheme="minorHAnsi" w:hAnsiTheme="minorHAnsi"/>
                <w:sz w:val="20"/>
              </w:rPr>
              <w:t>CFIA</w:t>
            </w:r>
            <w:r w:rsidRPr="00A17D06">
              <w:rPr>
                <w:rFonts w:asciiTheme="minorHAnsi" w:hAnsiTheme="minorHAnsi"/>
                <w:i/>
                <w:sz w:val="20"/>
              </w:rPr>
              <w:t>,</w:t>
            </w:r>
          </w:p>
          <w:p w:rsidR="00215309" w:rsidRPr="00A17D06" w:rsidRDefault="00274A8D" w:rsidP="00274A8D">
            <w:pPr>
              <w:ind w:left="720"/>
              <w:jc w:val="left"/>
              <w:rPr>
                <w:rFonts w:asciiTheme="minorHAnsi" w:hAnsiTheme="minorHAnsi"/>
                <w:i/>
                <w:sz w:val="20"/>
              </w:rPr>
            </w:pPr>
            <w:r w:rsidRPr="00A17D06">
              <w:rPr>
                <w:rFonts w:asciiTheme="minorHAnsi" w:hAnsiTheme="minorHAnsi"/>
                <w:sz w:val="20"/>
              </w:rPr>
              <w:t xml:space="preserve">    (</w:t>
            </w:r>
            <w:hyperlink r:id="rId15" w:history="1">
              <w:r w:rsidR="00215309" w:rsidRPr="00A17D06">
                <w:rPr>
                  <w:rStyle w:val="Hyperlink"/>
                  <w:rFonts w:asciiTheme="minorHAnsi" w:hAnsiTheme="minorHAnsi"/>
                  <w:sz w:val="20"/>
                </w:rPr>
                <w:t>http://www.inspection.gc.ca/english/sci/bio/anima/disemala/disemalae.shtml</w:t>
              </w:r>
            </w:hyperlink>
            <w:r w:rsidR="00215309" w:rsidRPr="00A17D06">
              <w:rPr>
                <w:rFonts w:asciiTheme="minorHAnsi" w:hAnsiTheme="minorHAnsi"/>
                <w:sz w:val="20"/>
              </w:rPr>
              <w:t>).</w:t>
            </w:r>
          </w:p>
          <w:p w:rsidR="00215309" w:rsidRPr="00A17D06" w:rsidRDefault="00215309" w:rsidP="00274A8D">
            <w:pPr>
              <w:numPr>
                <w:ilvl w:val="0"/>
                <w:numId w:val="1"/>
              </w:numPr>
              <w:jc w:val="left"/>
              <w:rPr>
                <w:rFonts w:asciiTheme="minorHAnsi" w:hAnsiTheme="minorHAnsi"/>
                <w:sz w:val="20"/>
              </w:rPr>
            </w:pPr>
            <w:r w:rsidRPr="00A17D06">
              <w:rPr>
                <w:rFonts w:asciiTheme="minorHAnsi" w:hAnsiTheme="minorHAnsi"/>
                <w:i/>
                <w:sz w:val="20"/>
              </w:rPr>
              <w:t xml:space="preserve">Risk Group Classification for Infectious Agents, </w:t>
            </w:r>
            <w:r w:rsidRPr="00A17D06">
              <w:rPr>
                <w:rFonts w:asciiTheme="minorHAnsi" w:hAnsiTheme="minorHAnsi"/>
                <w:sz w:val="20"/>
              </w:rPr>
              <w:t xml:space="preserve">American Biological Safety Association, </w:t>
            </w:r>
          </w:p>
          <w:p w:rsidR="00215309" w:rsidRPr="00A17D06" w:rsidRDefault="00274A8D" w:rsidP="00274A8D">
            <w:pPr>
              <w:jc w:val="left"/>
              <w:rPr>
                <w:rFonts w:asciiTheme="minorHAnsi" w:hAnsiTheme="minorHAnsi"/>
                <w:sz w:val="20"/>
              </w:rPr>
            </w:pPr>
            <w:r w:rsidRPr="00A17D06">
              <w:rPr>
                <w:rFonts w:asciiTheme="minorHAnsi" w:hAnsiTheme="minorHAnsi"/>
                <w:sz w:val="20"/>
              </w:rPr>
              <w:t xml:space="preserve">                   </w:t>
            </w:r>
            <w:r w:rsidR="00215309" w:rsidRPr="00A17D06">
              <w:rPr>
                <w:rFonts w:asciiTheme="minorHAnsi" w:hAnsiTheme="minorHAnsi"/>
                <w:sz w:val="20"/>
              </w:rPr>
              <w:t>(</w:t>
            </w:r>
            <w:hyperlink r:id="rId16" w:history="1">
              <w:r w:rsidR="00215309" w:rsidRPr="00A17D06">
                <w:rPr>
                  <w:rStyle w:val="Hyperlink"/>
                  <w:rFonts w:asciiTheme="minorHAnsi" w:hAnsiTheme="minorHAnsi"/>
                  <w:sz w:val="20"/>
                </w:rPr>
                <w:t>http://www.absa.org/riskgroups/index.html</w:t>
              </w:r>
            </w:hyperlink>
            <w:r w:rsidR="00215309" w:rsidRPr="00A17D06">
              <w:rPr>
                <w:rFonts w:asciiTheme="minorHAnsi" w:hAnsiTheme="minorHAnsi"/>
                <w:sz w:val="20"/>
              </w:rPr>
              <w:t>).</w:t>
            </w:r>
          </w:p>
          <w:p w:rsidR="00215309" w:rsidRPr="00A17D06" w:rsidRDefault="00215309" w:rsidP="00274A8D">
            <w:pPr>
              <w:numPr>
                <w:ilvl w:val="0"/>
                <w:numId w:val="1"/>
              </w:numPr>
              <w:jc w:val="left"/>
              <w:rPr>
                <w:rFonts w:asciiTheme="minorHAnsi" w:hAnsiTheme="minorHAnsi"/>
                <w:sz w:val="20"/>
              </w:rPr>
            </w:pPr>
            <w:r w:rsidRPr="00A17D06">
              <w:rPr>
                <w:rFonts w:asciiTheme="minorHAnsi" w:hAnsiTheme="minorHAnsi"/>
                <w:i/>
                <w:sz w:val="20"/>
              </w:rPr>
              <w:t xml:space="preserve">National Institutes of Health Guidelines for Research Involving Recombinant DNA Molecules, </w:t>
            </w:r>
            <w:r w:rsidRPr="00A17D06">
              <w:rPr>
                <w:rFonts w:asciiTheme="minorHAnsi" w:hAnsiTheme="minorHAnsi"/>
                <w:sz w:val="20"/>
              </w:rPr>
              <w:t>National Institutes of Health (NIH),</w:t>
            </w:r>
          </w:p>
          <w:p w:rsidR="00215309" w:rsidRPr="00A17D06" w:rsidRDefault="00274A8D" w:rsidP="00274A8D">
            <w:pPr>
              <w:jc w:val="left"/>
              <w:rPr>
                <w:rFonts w:asciiTheme="minorHAnsi" w:hAnsiTheme="minorHAnsi"/>
                <w:sz w:val="20"/>
              </w:rPr>
            </w:pPr>
            <w:r w:rsidRPr="00A17D06">
              <w:rPr>
                <w:rFonts w:asciiTheme="minorHAnsi" w:hAnsiTheme="minorHAnsi"/>
                <w:sz w:val="20"/>
              </w:rPr>
              <w:t xml:space="preserve">                  </w:t>
            </w:r>
            <w:r w:rsidR="00215309" w:rsidRPr="00A17D06">
              <w:rPr>
                <w:rFonts w:asciiTheme="minorHAnsi" w:hAnsiTheme="minorHAnsi"/>
                <w:sz w:val="20"/>
              </w:rPr>
              <w:t>(</w:t>
            </w:r>
            <w:hyperlink r:id="rId17" w:anchor="_Toc7238342" w:history="1">
              <w:r w:rsidR="00215309" w:rsidRPr="00A17D06">
                <w:rPr>
                  <w:rStyle w:val="Hyperlink"/>
                  <w:rFonts w:asciiTheme="minorHAnsi" w:hAnsiTheme="minorHAnsi"/>
                  <w:sz w:val="20"/>
                </w:rPr>
                <w:t>http://oba.od.nih.gov/oba/rac/Guidelines/APPENDIX_B.htm#_Toc7238342</w:t>
              </w:r>
            </w:hyperlink>
            <w:r w:rsidR="00215309" w:rsidRPr="00A17D06">
              <w:rPr>
                <w:rFonts w:asciiTheme="minorHAnsi" w:hAnsiTheme="minorHAnsi"/>
                <w:sz w:val="20"/>
              </w:rPr>
              <w:t>).</w:t>
            </w:r>
          </w:p>
          <w:p w:rsidR="00215309" w:rsidRPr="00A17D06" w:rsidRDefault="00215309" w:rsidP="00274A8D">
            <w:pPr>
              <w:numPr>
                <w:ilvl w:val="0"/>
                <w:numId w:val="2"/>
              </w:numPr>
              <w:jc w:val="left"/>
              <w:rPr>
                <w:rFonts w:asciiTheme="minorHAnsi" w:hAnsiTheme="minorHAnsi"/>
                <w:sz w:val="20"/>
              </w:rPr>
            </w:pPr>
            <w:r w:rsidRPr="00A17D06">
              <w:rPr>
                <w:rFonts w:asciiTheme="minorHAnsi" w:hAnsiTheme="minorHAnsi"/>
                <w:i/>
                <w:sz w:val="20"/>
              </w:rPr>
              <w:t>Biosafety in Microbiological and Biomedical Laboratories</w:t>
            </w:r>
            <w:r w:rsidRPr="00A17D06">
              <w:rPr>
                <w:rFonts w:asciiTheme="minorHAnsi" w:hAnsiTheme="minorHAnsi"/>
                <w:sz w:val="20"/>
              </w:rPr>
              <w:t>, Centers for Disease Control, National Institutes of Health,</w:t>
            </w:r>
          </w:p>
          <w:p w:rsidR="00215309" w:rsidRPr="00A17D06" w:rsidRDefault="00274A8D" w:rsidP="00274A8D">
            <w:pPr>
              <w:jc w:val="left"/>
              <w:rPr>
                <w:rFonts w:asciiTheme="minorHAnsi" w:hAnsiTheme="minorHAnsi"/>
                <w:sz w:val="20"/>
              </w:rPr>
            </w:pPr>
            <w:r w:rsidRPr="00A17D06">
              <w:rPr>
                <w:rFonts w:asciiTheme="minorHAnsi" w:hAnsiTheme="minorHAnsi"/>
                <w:sz w:val="20"/>
              </w:rPr>
              <w:t xml:space="preserve">                  </w:t>
            </w:r>
            <w:r w:rsidR="00215309" w:rsidRPr="00A17D06">
              <w:rPr>
                <w:rFonts w:asciiTheme="minorHAnsi" w:hAnsiTheme="minorHAnsi"/>
                <w:sz w:val="20"/>
              </w:rPr>
              <w:t>(</w:t>
            </w:r>
            <w:hyperlink r:id="rId18" w:history="1">
              <w:r w:rsidR="00215309" w:rsidRPr="00A17D06">
                <w:rPr>
                  <w:rStyle w:val="Hyperlink"/>
                  <w:rFonts w:asciiTheme="minorHAnsi" w:hAnsiTheme="minorHAnsi"/>
                  <w:sz w:val="20"/>
                </w:rPr>
                <w:t>http://www.cdc.gov/biosafety/publications/bmbl5/BMBL.pdf</w:t>
              </w:r>
            </w:hyperlink>
            <w:r w:rsidR="00215309" w:rsidRPr="00A17D06">
              <w:rPr>
                <w:rFonts w:asciiTheme="minorHAnsi" w:hAnsiTheme="minorHAnsi"/>
                <w:sz w:val="20"/>
              </w:rPr>
              <w:t>).</w:t>
            </w:r>
          </w:p>
          <w:p w:rsidR="00215309" w:rsidRPr="00A17D06" w:rsidRDefault="00215309" w:rsidP="00274A8D">
            <w:pPr>
              <w:jc w:val="left"/>
              <w:rPr>
                <w:rFonts w:asciiTheme="minorHAnsi" w:hAnsiTheme="minorHAnsi"/>
                <w:sz w:val="20"/>
              </w:rPr>
            </w:pPr>
          </w:p>
          <w:p w:rsidR="00215309" w:rsidRPr="00A17D06" w:rsidRDefault="00215309" w:rsidP="00274A8D">
            <w:pPr>
              <w:jc w:val="left"/>
              <w:rPr>
                <w:rFonts w:asciiTheme="minorHAnsi" w:hAnsiTheme="minorHAnsi"/>
                <w:sz w:val="20"/>
              </w:rPr>
            </w:pPr>
            <w:r w:rsidRPr="00A17D06">
              <w:rPr>
                <w:rFonts w:asciiTheme="minorHAnsi" w:hAnsiTheme="minorHAnsi"/>
                <w:sz w:val="20"/>
              </w:rPr>
              <w:t xml:space="preserve">If the risk group and containment level of the organism, biological material or biohazardous material has been determined by an external source(s) (e.g. PHAC, CFIA, </w:t>
            </w:r>
            <w:proofErr w:type="gramStart"/>
            <w:r w:rsidRPr="00A17D06">
              <w:rPr>
                <w:rFonts w:asciiTheme="minorHAnsi" w:hAnsiTheme="minorHAnsi"/>
                <w:sz w:val="20"/>
              </w:rPr>
              <w:t>NIH</w:t>
            </w:r>
            <w:proofErr w:type="gramEnd"/>
            <w:r w:rsidRPr="00A17D06">
              <w:rPr>
                <w:rFonts w:asciiTheme="minorHAnsi" w:hAnsiTheme="minorHAnsi"/>
                <w:sz w:val="20"/>
              </w:rPr>
              <w:t>), reference the source and available technical information.</w:t>
            </w:r>
          </w:p>
          <w:p w:rsidR="00215309" w:rsidRPr="00A17D06" w:rsidRDefault="00215309" w:rsidP="00274A8D">
            <w:pPr>
              <w:jc w:val="left"/>
              <w:rPr>
                <w:rFonts w:asciiTheme="minorHAnsi" w:hAnsiTheme="minorHAnsi"/>
                <w:sz w:val="20"/>
              </w:rPr>
            </w:pPr>
          </w:p>
          <w:p w:rsidR="00215309" w:rsidRPr="00A17D06" w:rsidRDefault="00215309" w:rsidP="00274A8D">
            <w:pPr>
              <w:jc w:val="left"/>
              <w:rPr>
                <w:rFonts w:asciiTheme="minorHAnsi" w:hAnsiTheme="minorHAnsi"/>
                <w:sz w:val="20"/>
              </w:rPr>
            </w:pPr>
            <w:r w:rsidRPr="00A17D06">
              <w:rPr>
                <w:rFonts w:asciiTheme="minorHAnsi" w:hAnsiTheme="minorHAnsi"/>
                <w:sz w:val="20"/>
              </w:rPr>
              <w:t xml:space="preserve">If the organism, biological material or biohazardous material risk group and containment level is not already determined, a biological risk group and containment level assessment must be performed. The </w:t>
            </w:r>
            <w:hyperlink r:id="rId19" w:history="1">
              <w:r w:rsidRPr="00042AFE">
                <w:rPr>
                  <w:rStyle w:val="Hyperlink"/>
                  <w:rFonts w:asciiTheme="minorHAnsi" w:hAnsiTheme="minorHAnsi"/>
                  <w:i/>
                  <w:sz w:val="20"/>
                </w:rPr>
                <w:t>Biological Risk Group and Containment Level Assessment</w:t>
              </w:r>
              <w:r w:rsidRPr="00042AFE">
                <w:rPr>
                  <w:rStyle w:val="Hyperlink"/>
                  <w:rFonts w:asciiTheme="minorHAnsi" w:hAnsiTheme="minorHAnsi"/>
                  <w:sz w:val="20"/>
                </w:rPr>
                <w:t xml:space="preserve"> </w:t>
              </w:r>
              <w:r w:rsidRPr="00042AFE">
                <w:rPr>
                  <w:rStyle w:val="Hyperlink"/>
                  <w:rFonts w:asciiTheme="minorHAnsi" w:hAnsiTheme="minorHAnsi"/>
                  <w:i/>
                  <w:sz w:val="20"/>
                </w:rPr>
                <w:t>Template</w:t>
              </w:r>
              <w:r w:rsidRPr="00042AFE">
                <w:rPr>
                  <w:rStyle w:val="Hyperlink"/>
                  <w:rFonts w:asciiTheme="minorHAnsi" w:hAnsiTheme="minorHAnsi"/>
                  <w:sz w:val="20"/>
                </w:rPr>
                <w:t xml:space="preserve"> </w:t>
              </w:r>
            </w:hyperlink>
            <w:r w:rsidRPr="00A17D06">
              <w:rPr>
                <w:rFonts w:asciiTheme="minorHAnsi" w:hAnsiTheme="minorHAnsi"/>
                <w:sz w:val="20"/>
              </w:rPr>
              <w:t>is to be used to determine the appropriate risk group and corresponding containment level of each organism, biological material or biohazardous material. Include a copy of each biological risk group and containment level assessment for each permitted material as an appendix to the biosafety plan.</w:t>
            </w:r>
          </w:p>
          <w:p w:rsidR="00215309" w:rsidRPr="00A17D06" w:rsidRDefault="00215309" w:rsidP="00274A8D">
            <w:pPr>
              <w:jc w:val="left"/>
              <w:rPr>
                <w:rFonts w:asciiTheme="minorHAnsi" w:hAnsiTheme="minorHAnsi"/>
                <w:sz w:val="20"/>
              </w:rPr>
            </w:pPr>
          </w:p>
          <w:p w:rsidR="00215309" w:rsidRPr="00A17D06" w:rsidRDefault="00215309" w:rsidP="00274A8D">
            <w:pPr>
              <w:jc w:val="left"/>
              <w:rPr>
                <w:rFonts w:asciiTheme="minorHAnsi" w:hAnsiTheme="minorHAnsi"/>
                <w:sz w:val="20"/>
              </w:rPr>
            </w:pPr>
            <w:r w:rsidRPr="00A17D06">
              <w:rPr>
                <w:rFonts w:asciiTheme="minorHAnsi" w:hAnsiTheme="minorHAnsi"/>
                <w:sz w:val="20"/>
              </w:rPr>
              <w:t>Include or reference available technical information including</w:t>
            </w:r>
            <w:r w:rsidR="002A5EB4" w:rsidRPr="00A17D06">
              <w:rPr>
                <w:rFonts w:asciiTheme="minorHAnsi" w:hAnsiTheme="minorHAnsi"/>
                <w:sz w:val="20"/>
              </w:rPr>
              <w:t xml:space="preserve"> Pathogen Safety Data Sheets (PSDS)</w:t>
            </w:r>
            <w:r w:rsidRPr="00A17D06">
              <w:rPr>
                <w:rFonts w:asciiTheme="minorHAnsi" w:hAnsiTheme="minorHAnsi"/>
                <w:sz w:val="20"/>
              </w:rPr>
              <w:t>, technical data sheets and/or related journal articles for each organism, biological material or biohazardous material.</w:t>
            </w:r>
          </w:p>
          <w:p w:rsidR="00215309" w:rsidRPr="00A17D06" w:rsidRDefault="00215309" w:rsidP="00274A8D">
            <w:pPr>
              <w:jc w:val="left"/>
              <w:rPr>
                <w:rFonts w:asciiTheme="minorHAnsi" w:hAnsiTheme="minorHAnsi"/>
                <w:sz w:val="20"/>
              </w:rPr>
            </w:pPr>
          </w:p>
          <w:p w:rsidR="00215309" w:rsidRPr="00A17D06" w:rsidRDefault="00215309" w:rsidP="00274A8D">
            <w:pPr>
              <w:jc w:val="left"/>
              <w:rPr>
                <w:sz w:val="20"/>
              </w:rPr>
            </w:pPr>
            <w:r w:rsidRPr="00A17D06">
              <w:rPr>
                <w:rFonts w:asciiTheme="minorHAnsi" w:hAnsiTheme="minorHAnsi"/>
                <w:sz w:val="20"/>
              </w:rPr>
              <w:t>Prepare an inventory of the organisms, biological materials and biohazardous materials that will be used under the biosafety permit (see Table 1).</w:t>
            </w:r>
          </w:p>
          <w:p w:rsidR="00215309" w:rsidRPr="007A3395" w:rsidRDefault="00215309" w:rsidP="00274A8D">
            <w:pPr>
              <w:jc w:val="left"/>
              <w:rPr>
                <w:b/>
                <w:szCs w:val="22"/>
              </w:rPr>
            </w:pPr>
            <w:r w:rsidRPr="00A17D06">
              <w:rPr>
                <w:b/>
                <w:i/>
                <w:sz w:val="20"/>
              </w:rPr>
              <w:t>.</w:t>
            </w:r>
          </w:p>
        </w:tc>
      </w:tr>
    </w:tbl>
    <w:p w:rsidR="008B7E50" w:rsidRDefault="008B7E50" w:rsidP="00CF098F">
      <w:pPr>
        <w:rPr>
          <w:sz w:val="18"/>
          <w:szCs w:val="18"/>
        </w:rPr>
      </w:pPr>
    </w:p>
    <w:p w:rsidR="008B7E50" w:rsidRPr="00042AFE" w:rsidRDefault="00042AFE">
      <w:pPr>
        <w:spacing w:after="200" w:line="276" w:lineRule="auto"/>
        <w:jc w:val="left"/>
        <w:rPr>
          <w:i/>
          <w:sz w:val="18"/>
          <w:szCs w:val="18"/>
        </w:rPr>
      </w:pPr>
      <w:r w:rsidRPr="00042AFE">
        <w:rPr>
          <w:i/>
          <w:sz w:val="18"/>
          <w:szCs w:val="18"/>
        </w:rPr>
        <w:t>ENTER TEXT HERE….</w:t>
      </w:r>
      <w:r w:rsidR="008B7E50" w:rsidRPr="00042AFE">
        <w:rPr>
          <w:i/>
          <w:sz w:val="18"/>
          <w:szCs w:val="18"/>
        </w:rPr>
        <w:br w:type="page"/>
      </w:r>
    </w:p>
    <w:p w:rsidR="008B7E50" w:rsidRDefault="008B7E50" w:rsidP="008B7E50">
      <w:pPr>
        <w:rPr>
          <w:b/>
          <w:szCs w:val="22"/>
        </w:rPr>
      </w:pPr>
      <w:r w:rsidRPr="008B7E50">
        <w:rPr>
          <w:b/>
          <w:szCs w:val="22"/>
        </w:rPr>
        <w:lastRenderedPageBreak/>
        <w:t>Table 1: Inventory of organisms, biological materials and biohazardous materials.</w:t>
      </w:r>
    </w:p>
    <w:p w:rsidR="008F05C5" w:rsidRPr="008B7E50" w:rsidRDefault="008F05C5" w:rsidP="008B7E50">
      <w:pPr>
        <w:rPr>
          <w:b/>
          <w:szCs w:val="22"/>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3"/>
        <w:gridCol w:w="2217"/>
        <w:gridCol w:w="826"/>
        <w:gridCol w:w="1316"/>
        <w:gridCol w:w="1429"/>
      </w:tblGrid>
      <w:tr w:rsidR="008B7E50" w:rsidRPr="008B7E50" w:rsidTr="004A4E9E">
        <w:trPr>
          <w:tblHeader/>
          <w:jc w:val="center"/>
        </w:trPr>
        <w:tc>
          <w:tcPr>
            <w:tcW w:w="998" w:type="pct"/>
            <w:shd w:val="clear" w:color="auto" w:fill="FFFF99"/>
            <w:vAlign w:val="center"/>
          </w:tcPr>
          <w:p w:rsidR="008B7E50" w:rsidRPr="008B7E50" w:rsidRDefault="008B7E50" w:rsidP="008B7E50">
            <w:pPr>
              <w:rPr>
                <w:b/>
                <w:sz w:val="18"/>
                <w:szCs w:val="18"/>
              </w:rPr>
            </w:pPr>
            <w:r w:rsidRPr="008B7E50">
              <w:rPr>
                <w:b/>
                <w:sz w:val="18"/>
                <w:szCs w:val="18"/>
              </w:rPr>
              <w:t>Name of Biological Material</w:t>
            </w:r>
          </w:p>
        </w:tc>
        <w:tc>
          <w:tcPr>
            <w:tcW w:w="997" w:type="pct"/>
            <w:shd w:val="clear" w:color="auto" w:fill="FFFF99"/>
            <w:vAlign w:val="center"/>
          </w:tcPr>
          <w:p w:rsidR="008B7E50" w:rsidRPr="008B7E50" w:rsidRDefault="008B7E50" w:rsidP="008B7E50">
            <w:pPr>
              <w:rPr>
                <w:b/>
                <w:sz w:val="18"/>
                <w:szCs w:val="18"/>
              </w:rPr>
            </w:pPr>
            <w:r w:rsidRPr="008B7E50">
              <w:rPr>
                <w:b/>
                <w:sz w:val="18"/>
                <w:szCs w:val="18"/>
              </w:rPr>
              <w:t>Purpose or Use</w:t>
            </w:r>
          </w:p>
        </w:tc>
        <w:tc>
          <w:tcPr>
            <w:tcW w:w="1137" w:type="pct"/>
            <w:shd w:val="clear" w:color="auto" w:fill="FFFF99"/>
            <w:vAlign w:val="center"/>
          </w:tcPr>
          <w:p w:rsidR="008B7E50" w:rsidRPr="008B7E50" w:rsidRDefault="008B7E50" w:rsidP="008B7E50">
            <w:pPr>
              <w:rPr>
                <w:b/>
                <w:sz w:val="18"/>
                <w:szCs w:val="18"/>
              </w:rPr>
            </w:pPr>
            <w:r w:rsidRPr="008B7E50">
              <w:rPr>
                <w:b/>
                <w:sz w:val="18"/>
                <w:szCs w:val="18"/>
              </w:rPr>
              <w:t>Quantity/Concentration</w:t>
            </w:r>
          </w:p>
        </w:tc>
        <w:tc>
          <w:tcPr>
            <w:tcW w:w="424" w:type="pct"/>
            <w:shd w:val="clear" w:color="auto" w:fill="FFFF99"/>
            <w:vAlign w:val="center"/>
          </w:tcPr>
          <w:p w:rsidR="008B7E50" w:rsidRPr="008B7E50" w:rsidRDefault="008B7E50" w:rsidP="008B7E50">
            <w:pPr>
              <w:rPr>
                <w:b/>
                <w:sz w:val="18"/>
                <w:szCs w:val="18"/>
              </w:rPr>
            </w:pPr>
            <w:r w:rsidRPr="008B7E50">
              <w:rPr>
                <w:b/>
                <w:sz w:val="18"/>
                <w:szCs w:val="18"/>
              </w:rPr>
              <w:t>Risk Group*</w:t>
            </w:r>
          </w:p>
          <w:p w:rsidR="008B7E50" w:rsidRPr="008B7E50" w:rsidRDefault="008B7E50" w:rsidP="008B7E50">
            <w:pPr>
              <w:rPr>
                <w:b/>
                <w:sz w:val="18"/>
                <w:szCs w:val="18"/>
              </w:rPr>
            </w:pPr>
            <w:r w:rsidRPr="008B7E50">
              <w:rPr>
                <w:b/>
                <w:sz w:val="18"/>
                <w:szCs w:val="18"/>
              </w:rPr>
              <w:t>(1, 2, 3)</w:t>
            </w:r>
          </w:p>
        </w:tc>
        <w:tc>
          <w:tcPr>
            <w:tcW w:w="675" w:type="pct"/>
            <w:shd w:val="clear" w:color="auto" w:fill="FFFF99"/>
            <w:vAlign w:val="center"/>
          </w:tcPr>
          <w:p w:rsidR="008B7E50" w:rsidRPr="008B7E50" w:rsidRDefault="008B7E50" w:rsidP="008B7E50">
            <w:pPr>
              <w:rPr>
                <w:b/>
                <w:sz w:val="18"/>
                <w:szCs w:val="18"/>
              </w:rPr>
            </w:pPr>
            <w:r w:rsidRPr="008B7E50">
              <w:rPr>
                <w:b/>
                <w:sz w:val="18"/>
                <w:szCs w:val="18"/>
              </w:rPr>
              <w:t>Containment Level*</w:t>
            </w:r>
          </w:p>
          <w:p w:rsidR="008B7E50" w:rsidRPr="008B7E50" w:rsidRDefault="008B7E50" w:rsidP="008B7E50">
            <w:pPr>
              <w:rPr>
                <w:b/>
                <w:sz w:val="18"/>
                <w:szCs w:val="18"/>
              </w:rPr>
            </w:pPr>
            <w:r w:rsidRPr="008B7E50">
              <w:rPr>
                <w:b/>
                <w:sz w:val="18"/>
                <w:szCs w:val="18"/>
              </w:rPr>
              <w:t>(1, 2, 3)</w:t>
            </w:r>
          </w:p>
        </w:tc>
        <w:tc>
          <w:tcPr>
            <w:tcW w:w="768" w:type="pct"/>
            <w:shd w:val="clear" w:color="auto" w:fill="FFFF99"/>
            <w:vAlign w:val="center"/>
          </w:tcPr>
          <w:p w:rsidR="008B7E50" w:rsidRPr="008B7E50" w:rsidRDefault="008B7E50" w:rsidP="008B7E50">
            <w:pPr>
              <w:rPr>
                <w:b/>
                <w:sz w:val="18"/>
                <w:szCs w:val="18"/>
              </w:rPr>
            </w:pPr>
            <w:r w:rsidRPr="008B7E50">
              <w:rPr>
                <w:b/>
                <w:sz w:val="18"/>
                <w:szCs w:val="18"/>
              </w:rPr>
              <w:t>References**</w:t>
            </w: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r w:rsidR="008B7E50" w:rsidRPr="008B7E50" w:rsidTr="00C01151">
        <w:trPr>
          <w:trHeight w:val="432"/>
          <w:jc w:val="center"/>
        </w:trPr>
        <w:tc>
          <w:tcPr>
            <w:tcW w:w="998" w:type="pct"/>
            <w:vAlign w:val="center"/>
          </w:tcPr>
          <w:p w:rsidR="008B7E50" w:rsidRPr="008B7E50" w:rsidRDefault="008B7E50" w:rsidP="008B7E50">
            <w:pPr>
              <w:rPr>
                <w:sz w:val="18"/>
                <w:szCs w:val="18"/>
              </w:rPr>
            </w:pPr>
          </w:p>
        </w:tc>
        <w:tc>
          <w:tcPr>
            <w:tcW w:w="997" w:type="pct"/>
          </w:tcPr>
          <w:p w:rsidR="008B7E50" w:rsidRPr="008B7E50" w:rsidRDefault="008B7E50" w:rsidP="008B7E50">
            <w:pPr>
              <w:rPr>
                <w:sz w:val="18"/>
                <w:szCs w:val="18"/>
              </w:rPr>
            </w:pPr>
          </w:p>
        </w:tc>
        <w:tc>
          <w:tcPr>
            <w:tcW w:w="1137" w:type="pct"/>
            <w:vAlign w:val="center"/>
          </w:tcPr>
          <w:p w:rsidR="008B7E50" w:rsidRPr="008B7E50" w:rsidRDefault="008B7E50" w:rsidP="008B7E50">
            <w:pPr>
              <w:rPr>
                <w:sz w:val="18"/>
                <w:szCs w:val="18"/>
              </w:rPr>
            </w:pPr>
          </w:p>
        </w:tc>
        <w:tc>
          <w:tcPr>
            <w:tcW w:w="424" w:type="pct"/>
            <w:vAlign w:val="center"/>
          </w:tcPr>
          <w:p w:rsidR="008B7E50" w:rsidRPr="008B7E50" w:rsidRDefault="008B7E50" w:rsidP="008B7E50">
            <w:pPr>
              <w:rPr>
                <w:sz w:val="18"/>
                <w:szCs w:val="18"/>
              </w:rPr>
            </w:pPr>
          </w:p>
        </w:tc>
        <w:tc>
          <w:tcPr>
            <w:tcW w:w="675" w:type="pct"/>
            <w:vAlign w:val="center"/>
          </w:tcPr>
          <w:p w:rsidR="008B7E50" w:rsidRPr="008B7E50" w:rsidRDefault="008B7E50" w:rsidP="008B7E50">
            <w:pPr>
              <w:rPr>
                <w:sz w:val="18"/>
                <w:szCs w:val="18"/>
              </w:rPr>
            </w:pPr>
          </w:p>
        </w:tc>
        <w:tc>
          <w:tcPr>
            <w:tcW w:w="768" w:type="pct"/>
            <w:vAlign w:val="center"/>
          </w:tcPr>
          <w:p w:rsidR="008B7E50" w:rsidRPr="008B7E50" w:rsidRDefault="008B7E50" w:rsidP="008B7E50">
            <w:pPr>
              <w:rPr>
                <w:sz w:val="18"/>
                <w:szCs w:val="18"/>
              </w:rPr>
            </w:pPr>
          </w:p>
        </w:tc>
      </w:tr>
    </w:tbl>
    <w:p w:rsidR="008B7E50" w:rsidRPr="008B7E50" w:rsidRDefault="008B7E50" w:rsidP="008B7E50">
      <w:pPr>
        <w:rPr>
          <w:sz w:val="18"/>
          <w:szCs w:val="18"/>
        </w:rPr>
      </w:pPr>
      <w:r w:rsidRPr="008B7E50">
        <w:rPr>
          <w:sz w:val="18"/>
          <w:szCs w:val="18"/>
        </w:rPr>
        <w:t>*The identified risk group and containment level as specified by external sources, or as determined from a biological risk and containment level assessment.</w:t>
      </w:r>
    </w:p>
    <w:p w:rsidR="008B7E50" w:rsidRPr="008B7E50" w:rsidRDefault="008B7E50" w:rsidP="008B7E50">
      <w:pPr>
        <w:rPr>
          <w:sz w:val="18"/>
          <w:szCs w:val="18"/>
        </w:rPr>
      </w:pPr>
      <w:r w:rsidRPr="008B7E50">
        <w:rPr>
          <w:sz w:val="18"/>
          <w:szCs w:val="18"/>
        </w:rPr>
        <w:t>**Indicate the reference for the categorization of the risk group and containment level (e.g. risk assessment performed by researcher, PHAC, CFIA).</w:t>
      </w:r>
    </w:p>
    <w:p w:rsidR="008B7E50" w:rsidRPr="008B7E50" w:rsidRDefault="008B7E50" w:rsidP="008B7E50">
      <w:pPr>
        <w:rPr>
          <w:sz w:val="18"/>
          <w:szCs w:val="18"/>
        </w:rPr>
      </w:pPr>
    </w:p>
    <w:p w:rsidR="000C7AE1" w:rsidRDefault="000C7AE1">
      <w:pPr>
        <w:spacing w:after="200" w:line="276" w:lineRule="auto"/>
        <w:jc w:val="left"/>
        <w:rPr>
          <w:sz w:val="18"/>
          <w:szCs w:val="18"/>
        </w:rPr>
      </w:pPr>
      <w:r>
        <w:rPr>
          <w:sz w:val="18"/>
          <w:szCs w:val="18"/>
        </w:rPr>
        <w:br w:type="page"/>
      </w:r>
    </w:p>
    <w:p w:rsidR="00202DBA" w:rsidRPr="008D09EC" w:rsidRDefault="00202DBA" w:rsidP="008D09EC">
      <w:pPr>
        <w:pStyle w:val="Heading1"/>
        <w:numPr>
          <w:ilvl w:val="0"/>
          <w:numId w:val="24"/>
        </w:numPr>
      </w:pPr>
      <w:bookmarkStart w:id="7" w:name="_Toc316631997"/>
      <w:bookmarkStart w:id="8" w:name="_Toc516500696"/>
      <w:bookmarkStart w:id="9" w:name="_Toc516573336"/>
      <w:r w:rsidRPr="008D09EC">
        <w:lastRenderedPageBreak/>
        <w:t>Work Locations</w:t>
      </w:r>
      <w:bookmarkEnd w:id="7"/>
      <w:bookmarkEnd w:id="8"/>
      <w:bookmarkEnd w:id="9"/>
    </w:p>
    <w:p w:rsidR="00202DBA" w:rsidRPr="00202DBA" w:rsidRDefault="00202DBA" w:rsidP="00202DBA">
      <w:pPr>
        <w:rPr>
          <w:b/>
          <w:bCs/>
          <w:sz w:val="24"/>
          <w:szCs w:val="24"/>
          <w:u w:val="single"/>
        </w:rPr>
      </w:pPr>
    </w:p>
    <w:p w:rsidR="00202DBA" w:rsidRPr="00202DBA" w:rsidRDefault="00202DBA" w:rsidP="00202DBA">
      <w:pPr>
        <w:rPr>
          <w:b/>
          <w:bCs/>
          <w:sz w:val="24"/>
          <w:szCs w:val="24"/>
        </w:rPr>
      </w:pP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
          <w:bCs/>
          <w:sz w:val="20"/>
        </w:rPr>
      </w:pPr>
      <w:r w:rsidRPr="00A17D06">
        <w:rPr>
          <w:rFonts w:asciiTheme="minorHAnsi" w:hAnsiTheme="minorHAnsi"/>
          <w:b/>
          <w:bCs/>
          <w:sz w:val="20"/>
        </w:rPr>
        <w:t xml:space="preserve">Instructions: </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Identify the locations where the organism(s), biological materials and biohazardous materials will be used and stored. Include a description of the facility and safety equipment (e.g. biosafety cabinets, autoclaves) that will be employed. Complete Table 2.</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Work and storage locations must meet containment level requirements as determined from the risk assessment information for each organism, biological material or biohazardous material. The following resources provide details of facility design and operational requirements based on the identified containment level.</w:t>
      </w:r>
    </w:p>
    <w:p w:rsidR="009F2CFE" w:rsidRPr="00A17D06" w:rsidRDefault="009F2CFE"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 xml:space="preserve">• </w:t>
      </w:r>
      <w:r w:rsidRPr="00A17D06">
        <w:rPr>
          <w:rFonts w:asciiTheme="minorHAnsi" w:hAnsiTheme="minorHAnsi"/>
          <w:bCs/>
          <w:i/>
          <w:iCs/>
          <w:sz w:val="20"/>
        </w:rPr>
        <w:t>Canadian Biosafety Standard</w:t>
      </w:r>
      <w:r w:rsidRPr="00A17D06">
        <w:rPr>
          <w:rFonts w:asciiTheme="minorHAnsi" w:hAnsiTheme="minorHAnsi"/>
          <w:bCs/>
          <w:sz w:val="20"/>
        </w:rPr>
        <w:t xml:space="preserve"> (CBS), 2</w:t>
      </w:r>
      <w:r w:rsidRPr="00A17D06">
        <w:rPr>
          <w:rFonts w:asciiTheme="minorHAnsi" w:hAnsiTheme="minorHAnsi"/>
          <w:bCs/>
          <w:sz w:val="20"/>
          <w:vertAlign w:val="superscript"/>
        </w:rPr>
        <w:t>nd</w:t>
      </w:r>
      <w:r w:rsidRPr="00A17D06">
        <w:rPr>
          <w:rFonts w:asciiTheme="minorHAnsi" w:hAnsiTheme="minorHAnsi"/>
          <w:bCs/>
          <w:sz w:val="20"/>
        </w:rPr>
        <w:t xml:space="preserve"> Edition, 2015 </w:t>
      </w:r>
    </w:p>
    <w:p w:rsidR="009F2CFE" w:rsidRPr="00A17D06" w:rsidRDefault="009F2CFE"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t>
      </w:r>
      <w:hyperlink r:id="rId20" w:history="1">
        <w:r w:rsidRPr="00A17D06">
          <w:rPr>
            <w:rStyle w:val="Hyperlink"/>
            <w:rFonts w:asciiTheme="minorHAnsi" w:hAnsiTheme="minorHAnsi"/>
            <w:bCs/>
            <w:sz w:val="20"/>
          </w:rPr>
          <w:t>http://canadianbiosafetystandards.collaboration.gc.ca</w:t>
        </w:r>
      </w:hyperlink>
      <w:r w:rsidRPr="00A17D06">
        <w:rPr>
          <w:rFonts w:asciiTheme="minorHAnsi" w:hAnsiTheme="minorHAnsi"/>
          <w:bCs/>
          <w:sz w:val="20"/>
        </w:rPr>
        <w:t xml:space="preserve">) </w:t>
      </w:r>
    </w:p>
    <w:p w:rsidR="009F2CFE" w:rsidRPr="00A17D06" w:rsidRDefault="009F2CFE"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 xml:space="preserve">• </w:t>
      </w:r>
      <w:r w:rsidRPr="00A17D06">
        <w:rPr>
          <w:rFonts w:asciiTheme="minorHAnsi" w:hAnsiTheme="minorHAnsi"/>
          <w:bCs/>
          <w:i/>
          <w:iCs/>
          <w:sz w:val="20"/>
        </w:rPr>
        <w:t>Canadian Biosafety Handbook</w:t>
      </w:r>
      <w:r w:rsidRPr="00A17D06">
        <w:rPr>
          <w:rFonts w:asciiTheme="minorHAnsi" w:hAnsiTheme="minorHAnsi"/>
          <w:bCs/>
          <w:sz w:val="20"/>
        </w:rPr>
        <w:t xml:space="preserve"> (CBH), 2</w:t>
      </w:r>
      <w:r w:rsidRPr="00A17D06">
        <w:rPr>
          <w:rFonts w:asciiTheme="minorHAnsi" w:hAnsiTheme="minorHAnsi"/>
          <w:bCs/>
          <w:sz w:val="20"/>
          <w:vertAlign w:val="superscript"/>
        </w:rPr>
        <w:t>nd</w:t>
      </w:r>
      <w:r w:rsidRPr="00A17D06">
        <w:rPr>
          <w:rFonts w:asciiTheme="minorHAnsi" w:hAnsiTheme="minorHAnsi"/>
          <w:bCs/>
          <w:sz w:val="20"/>
        </w:rPr>
        <w:t xml:space="preserve"> Edition, 2015.</w:t>
      </w:r>
    </w:p>
    <w:p w:rsidR="009F2CFE" w:rsidRPr="00A17D06" w:rsidRDefault="009F2CFE"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t>
      </w:r>
      <w:hyperlink r:id="rId21" w:history="1">
        <w:r w:rsidRPr="00A17D06">
          <w:rPr>
            <w:rStyle w:val="Hyperlink"/>
            <w:rFonts w:asciiTheme="minorHAnsi" w:hAnsiTheme="minorHAnsi"/>
            <w:bCs/>
            <w:sz w:val="20"/>
          </w:rPr>
          <w:t>http://canadianbiosafetystandards.collaboration.gc.ca</w:t>
        </w:r>
      </w:hyperlink>
      <w:r w:rsidRPr="00A17D06">
        <w:rPr>
          <w:rFonts w:asciiTheme="minorHAnsi" w:hAnsiTheme="minorHAnsi"/>
          <w:bCs/>
          <w:sz w:val="20"/>
        </w:rPr>
        <w:t>)</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•Containment Standards for Facilities Handling Plant Pests, CFIA,</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t>
      </w:r>
      <w:hyperlink r:id="rId22" w:history="1">
        <w:r w:rsidRPr="00A17D06">
          <w:rPr>
            <w:rStyle w:val="Hyperlink"/>
            <w:rFonts w:asciiTheme="minorHAnsi" w:hAnsiTheme="minorHAnsi"/>
            <w:bCs/>
            <w:sz w:val="20"/>
          </w:rPr>
          <w:t>http://www.inspection.gc.ca/english/sci/bio/plaveg/placone.pdf</w:t>
        </w:r>
      </w:hyperlink>
      <w:r w:rsidRPr="00A17D06">
        <w:rPr>
          <w:rFonts w:asciiTheme="minorHAnsi" w:hAnsiTheme="minorHAnsi"/>
          <w:bCs/>
          <w:sz w:val="20"/>
        </w:rPr>
        <w:t xml:space="preserve">). </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•Containment Standards for Facilities Handling Aquatic Animal Pathogens, CFIA,</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t>
      </w:r>
      <w:hyperlink r:id="rId23" w:history="1">
        <w:r w:rsidRPr="00A17D06">
          <w:rPr>
            <w:rStyle w:val="Hyperlink"/>
            <w:rFonts w:asciiTheme="minorHAnsi" w:hAnsiTheme="minorHAnsi"/>
            <w:bCs/>
            <w:sz w:val="20"/>
          </w:rPr>
          <w:t>http://www.inspection.gc.ca/english/sci/bio/anima/aqu/csfncie.pdf</w:t>
        </w:r>
      </w:hyperlink>
      <w:r w:rsidRPr="00A17D06">
        <w:rPr>
          <w:rFonts w:asciiTheme="minorHAnsi" w:hAnsiTheme="minorHAnsi"/>
          <w:bCs/>
          <w:sz w:val="20"/>
        </w:rPr>
        <w:t xml:space="preserve">). </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•Biosafety in Microbiological and Biomedical Laboratories, Centers for Disease Control, National Institutes of Health,</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w:t>
      </w:r>
      <w:hyperlink r:id="rId24" w:history="1">
        <w:r w:rsidRPr="00A17D06">
          <w:rPr>
            <w:rStyle w:val="Hyperlink"/>
            <w:rFonts w:asciiTheme="minorHAnsi" w:hAnsiTheme="minorHAnsi"/>
            <w:bCs/>
            <w:sz w:val="20"/>
          </w:rPr>
          <w:t>http://www.cdc.gov/biosafety/publications/bmbl5/BMBL.pdf</w:t>
        </w:r>
      </w:hyperlink>
      <w:r w:rsidRPr="00A17D06">
        <w:rPr>
          <w:rFonts w:asciiTheme="minorHAnsi" w:hAnsiTheme="minorHAnsi"/>
          <w:bCs/>
          <w:sz w:val="20"/>
        </w:rPr>
        <w:t xml:space="preserve">). </w:t>
      </w: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p>
    <w:p w:rsidR="007A3395" w:rsidRPr="00A17D06" w:rsidRDefault="007A3395" w:rsidP="00042AFE">
      <w:pPr>
        <w:pBdr>
          <w:top w:val="single" w:sz="4" w:space="1" w:color="auto"/>
          <w:left w:val="single" w:sz="4" w:space="4" w:color="auto"/>
          <w:bottom w:val="single" w:sz="4" w:space="10" w:color="auto"/>
          <w:right w:val="single" w:sz="4" w:space="4" w:color="auto"/>
        </w:pBdr>
        <w:shd w:val="clear" w:color="auto" w:fill="D9DFEF" w:themeFill="accent1" w:themeFillTint="33"/>
        <w:rPr>
          <w:rFonts w:asciiTheme="minorHAnsi" w:hAnsiTheme="minorHAnsi"/>
          <w:bCs/>
          <w:sz w:val="20"/>
        </w:rPr>
      </w:pPr>
      <w:r w:rsidRPr="00A17D06">
        <w:rPr>
          <w:rFonts w:asciiTheme="minorHAnsi" w:hAnsiTheme="minorHAnsi"/>
          <w:bCs/>
          <w:sz w:val="20"/>
        </w:rPr>
        <w:t>The Biosafety Officer is available to assist with ensuring facilities meet containment level standards.</w:t>
      </w:r>
    </w:p>
    <w:p w:rsidR="007A3395" w:rsidRDefault="007A3395" w:rsidP="00202DBA">
      <w:pPr>
        <w:rPr>
          <w:b/>
          <w:bCs/>
          <w:sz w:val="24"/>
          <w:szCs w:val="24"/>
          <w:u w:val="single"/>
        </w:rPr>
      </w:pPr>
    </w:p>
    <w:p w:rsidR="007A3395" w:rsidRPr="00202DBA" w:rsidRDefault="007A3395" w:rsidP="00202DBA">
      <w:pPr>
        <w:rPr>
          <w:b/>
          <w:bCs/>
          <w:sz w:val="24"/>
          <w:szCs w:val="24"/>
          <w:u w:val="single"/>
        </w:rPr>
      </w:pPr>
    </w:p>
    <w:p w:rsidR="00042AFE" w:rsidRDefault="00042AFE" w:rsidP="00042AFE">
      <w:pPr>
        <w:rPr>
          <w:sz w:val="18"/>
          <w:szCs w:val="18"/>
        </w:rPr>
      </w:pPr>
    </w:p>
    <w:p w:rsidR="00202DBA" w:rsidRPr="00202DBA" w:rsidRDefault="00042AFE" w:rsidP="00042AFE">
      <w:pPr>
        <w:rPr>
          <w:b/>
          <w:bCs/>
          <w:sz w:val="24"/>
          <w:szCs w:val="24"/>
          <w:u w:val="single"/>
        </w:rPr>
      </w:pPr>
      <w:r w:rsidRPr="00042AFE">
        <w:rPr>
          <w:i/>
          <w:sz w:val="18"/>
          <w:szCs w:val="18"/>
        </w:rPr>
        <w:t>ENTER TEXT HERE….</w:t>
      </w:r>
      <w:r w:rsidR="00202DBA" w:rsidRPr="00202DBA">
        <w:rPr>
          <w:b/>
          <w:bCs/>
          <w:sz w:val="24"/>
          <w:szCs w:val="24"/>
          <w:u w:val="single"/>
        </w:rPr>
        <w:br w:type="page"/>
      </w:r>
    </w:p>
    <w:p w:rsidR="000C7AE1" w:rsidRDefault="000C7AE1" w:rsidP="000C7AE1">
      <w:pPr>
        <w:rPr>
          <w:szCs w:val="22"/>
        </w:rPr>
      </w:pPr>
      <w:r w:rsidRPr="008F05C5">
        <w:rPr>
          <w:szCs w:val="22"/>
        </w:rPr>
        <w:lastRenderedPageBreak/>
        <w:t>Table 2: Biosafety permit work and storage locations.</w:t>
      </w:r>
    </w:p>
    <w:p w:rsidR="008F05C5" w:rsidRPr="008F05C5" w:rsidRDefault="008F05C5" w:rsidP="000C7AE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14"/>
        <w:gridCol w:w="1978"/>
        <w:gridCol w:w="1556"/>
        <w:gridCol w:w="1494"/>
        <w:gridCol w:w="1403"/>
      </w:tblGrid>
      <w:tr w:rsidR="000C7AE1" w:rsidRPr="000C7AE1" w:rsidTr="00DC454D">
        <w:tc>
          <w:tcPr>
            <w:tcW w:w="805" w:type="pct"/>
            <w:vMerge w:val="restart"/>
            <w:shd w:val="clear" w:color="auto" w:fill="D9DFEF" w:themeFill="accent1" w:themeFillTint="33"/>
            <w:vAlign w:val="center"/>
          </w:tcPr>
          <w:p w:rsidR="000C7AE1" w:rsidRPr="000C7AE1" w:rsidRDefault="000C7AE1" w:rsidP="000C7AE1">
            <w:pPr>
              <w:rPr>
                <w:b/>
                <w:sz w:val="18"/>
                <w:szCs w:val="18"/>
              </w:rPr>
            </w:pPr>
            <w:r w:rsidRPr="000C7AE1">
              <w:rPr>
                <w:b/>
                <w:sz w:val="18"/>
                <w:szCs w:val="18"/>
              </w:rPr>
              <w:t>Location</w:t>
            </w:r>
          </w:p>
        </w:tc>
        <w:tc>
          <w:tcPr>
            <w:tcW w:w="756" w:type="pct"/>
            <w:vMerge w:val="restart"/>
            <w:shd w:val="clear" w:color="auto" w:fill="D9DFEF" w:themeFill="accent1" w:themeFillTint="33"/>
            <w:vAlign w:val="center"/>
          </w:tcPr>
          <w:p w:rsidR="000C7AE1" w:rsidRPr="000C7AE1" w:rsidRDefault="000C7AE1" w:rsidP="000C7AE1">
            <w:pPr>
              <w:rPr>
                <w:b/>
                <w:sz w:val="18"/>
                <w:szCs w:val="18"/>
              </w:rPr>
            </w:pPr>
            <w:r w:rsidRPr="000C7AE1">
              <w:rPr>
                <w:b/>
                <w:sz w:val="18"/>
                <w:szCs w:val="18"/>
              </w:rPr>
              <w:t>Purpose*</w:t>
            </w:r>
          </w:p>
        </w:tc>
        <w:tc>
          <w:tcPr>
            <w:tcW w:w="1058" w:type="pct"/>
            <w:vMerge w:val="restart"/>
            <w:shd w:val="clear" w:color="auto" w:fill="D9DFEF" w:themeFill="accent1" w:themeFillTint="33"/>
            <w:vAlign w:val="center"/>
          </w:tcPr>
          <w:p w:rsidR="000C7AE1" w:rsidRPr="000C7AE1" w:rsidRDefault="000C7AE1" w:rsidP="000C7AE1">
            <w:pPr>
              <w:rPr>
                <w:b/>
                <w:sz w:val="18"/>
                <w:szCs w:val="18"/>
              </w:rPr>
            </w:pPr>
            <w:r w:rsidRPr="000C7AE1">
              <w:rPr>
                <w:b/>
                <w:sz w:val="18"/>
                <w:szCs w:val="18"/>
              </w:rPr>
              <w:t>Nature of Work</w:t>
            </w:r>
          </w:p>
        </w:tc>
        <w:tc>
          <w:tcPr>
            <w:tcW w:w="1631" w:type="pct"/>
            <w:gridSpan w:val="2"/>
            <w:tcBorders>
              <w:bottom w:val="single" w:sz="4" w:space="0" w:color="auto"/>
            </w:tcBorders>
            <w:shd w:val="clear" w:color="auto" w:fill="D9DFEF" w:themeFill="accent1" w:themeFillTint="33"/>
            <w:vAlign w:val="center"/>
          </w:tcPr>
          <w:p w:rsidR="000C7AE1" w:rsidRPr="000C7AE1" w:rsidRDefault="000C7AE1" w:rsidP="000C7AE1">
            <w:pPr>
              <w:rPr>
                <w:b/>
                <w:sz w:val="18"/>
                <w:szCs w:val="18"/>
              </w:rPr>
            </w:pPr>
            <w:r w:rsidRPr="000C7AE1">
              <w:rPr>
                <w:b/>
                <w:sz w:val="18"/>
                <w:szCs w:val="18"/>
              </w:rPr>
              <w:t>Safety Equipment**</w:t>
            </w:r>
          </w:p>
        </w:tc>
        <w:tc>
          <w:tcPr>
            <w:tcW w:w="750" w:type="pct"/>
            <w:vMerge w:val="restart"/>
            <w:shd w:val="clear" w:color="auto" w:fill="D9DFEF" w:themeFill="accent1" w:themeFillTint="33"/>
            <w:vAlign w:val="center"/>
          </w:tcPr>
          <w:p w:rsidR="000C7AE1" w:rsidRPr="000C7AE1" w:rsidRDefault="000C7AE1" w:rsidP="000C7AE1">
            <w:pPr>
              <w:rPr>
                <w:b/>
                <w:sz w:val="18"/>
                <w:szCs w:val="18"/>
              </w:rPr>
            </w:pPr>
            <w:r w:rsidRPr="000C7AE1">
              <w:rPr>
                <w:b/>
                <w:sz w:val="18"/>
                <w:szCs w:val="18"/>
              </w:rPr>
              <w:t>Containment Level***</w:t>
            </w:r>
          </w:p>
        </w:tc>
      </w:tr>
      <w:tr w:rsidR="000C7AE1" w:rsidRPr="000C7AE1" w:rsidTr="00350A5B">
        <w:trPr>
          <w:trHeight w:val="144"/>
        </w:trPr>
        <w:tc>
          <w:tcPr>
            <w:tcW w:w="805" w:type="pct"/>
            <w:vMerge/>
            <w:vAlign w:val="center"/>
          </w:tcPr>
          <w:p w:rsidR="000C7AE1" w:rsidRPr="000C7AE1" w:rsidRDefault="000C7AE1" w:rsidP="000C7AE1">
            <w:pPr>
              <w:rPr>
                <w:sz w:val="18"/>
                <w:szCs w:val="18"/>
              </w:rPr>
            </w:pPr>
          </w:p>
        </w:tc>
        <w:tc>
          <w:tcPr>
            <w:tcW w:w="756" w:type="pct"/>
            <w:vMerge/>
            <w:vAlign w:val="center"/>
          </w:tcPr>
          <w:p w:rsidR="000C7AE1" w:rsidRPr="000C7AE1" w:rsidRDefault="000C7AE1" w:rsidP="000C7AE1">
            <w:pPr>
              <w:rPr>
                <w:sz w:val="18"/>
                <w:szCs w:val="18"/>
              </w:rPr>
            </w:pPr>
          </w:p>
        </w:tc>
        <w:tc>
          <w:tcPr>
            <w:tcW w:w="1058" w:type="pct"/>
            <w:vMerge/>
            <w:vAlign w:val="center"/>
          </w:tcPr>
          <w:p w:rsidR="000C7AE1" w:rsidRPr="000C7AE1" w:rsidRDefault="000C7AE1" w:rsidP="000C7AE1">
            <w:pPr>
              <w:rPr>
                <w:sz w:val="18"/>
                <w:szCs w:val="18"/>
              </w:rPr>
            </w:pPr>
          </w:p>
        </w:tc>
        <w:tc>
          <w:tcPr>
            <w:tcW w:w="832" w:type="pct"/>
            <w:shd w:val="pct10" w:color="auto" w:fill="auto"/>
            <w:vAlign w:val="center"/>
          </w:tcPr>
          <w:p w:rsidR="000C7AE1" w:rsidRPr="000C7AE1" w:rsidRDefault="000C7AE1" w:rsidP="000C7AE1">
            <w:pPr>
              <w:rPr>
                <w:b/>
                <w:sz w:val="18"/>
                <w:szCs w:val="18"/>
              </w:rPr>
            </w:pPr>
            <w:r w:rsidRPr="000C7AE1">
              <w:rPr>
                <w:b/>
                <w:sz w:val="18"/>
                <w:szCs w:val="18"/>
              </w:rPr>
              <w:t>Type and Model</w:t>
            </w:r>
          </w:p>
        </w:tc>
        <w:tc>
          <w:tcPr>
            <w:tcW w:w="799" w:type="pct"/>
            <w:shd w:val="pct10" w:color="auto" w:fill="auto"/>
            <w:vAlign w:val="center"/>
          </w:tcPr>
          <w:p w:rsidR="000C7AE1" w:rsidRPr="000C7AE1" w:rsidRDefault="000C7AE1" w:rsidP="000C7AE1">
            <w:pPr>
              <w:rPr>
                <w:b/>
                <w:sz w:val="18"/>
                <w:szCs w:val="18"/>
              </w:rPr>
            </w:pPr>
            <w:r w:rsidRPr="000C7AE1">
              <w:rPr>
                <w:b/>
                <w:sz w:val="18"/>
                <w:szCs w:val="18"/>
              </w:rPr>
              <w:t>Serial Number</w:t>
            </w:r>
          </w:p>
        </w:tc>
        <w:tc>
          <w:tcPr>
            <w:tcW w:w="750" w:type="pct"/>
            <w:vMerge/>
            <w:tcBorders>
              <w:bottom w:val="single" w:sz="4" w:space="0" w:color="auto"/>
            </w:tcBorders>
            <w:shd w:val="pct5"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r w:rsidR="000C7AE1" w:rsidRPr="000C7AE1" w:rsidTr="00350A5B">
        <w:trPr>
          <w:trHeight w:val="432"/>
        </w:trPr>
        <w:tc>
          <w:tcPr>
            <w:tcW w:w="805" w:type="pct"/>
            <w:vAlign w:val="center"/>
          </w:tcPr>
          <w:p w:rsidR="000C7AE1" w:rsidRPr="000C7AE1" w:rsidRDefault="000C7AE1" w:rsidP="000C7AE1">
            <w:pPr>
              <w:rPr>
                <w:sz w:val="18"/>
                <w:szCs w:val="18"/>
              </w:rPr>
            </w:pPr>
          </w:p>
        </w:tc>
        <w:tc>
          <w:tcPr>
            <w:tcW w:w="756" w:type="pct"/>
            <w:vAlign w:val="center"/>
          </w:tcPr>
          <w:p w:rsidR="000C7AE1" w:rsidRPr="000C7AE1" w:rsidRDefault="000C7AE1" w:rsidP="000C7AE1">
            <w:pPr>
              <w:rPr>
                <w:sz w:val="18"/>
                <w:szCs w:val="18"/>
              </w:rPr>
            </w:pPr>
          </w:p>
        </w:tc>
        <w:tc>
          <w:tcPr>
            <w:tcW w:w="1058" w:type="pct"/>
            <w:vAlign w:val="center"/>
          </w:tcPr>
          <w:p w:rsidR="000C7AE1" w:rsidRPr="000C7AE1" w:rsidRDefault="000C7AE1" w:rsidP="000C7AE1">
            <w:pPr>
              <w:rPr>
                <w:sz w:val="18"/>
                <w:szCs w:val="18"/>
              </w:rPr>
            </w:pPr>
          </w:p>
        </w:tc>
        <w:tc>
          <w:tcPr>
            <w:tcW w:w="832" w:type="pct"/>
            <w:vAlign w:val="center"/>
          </w:tcPr>
          <w:p w:rsidR="000C7AE1" w:rsidRPr="000C7AE1" w:rsidRDefault="000C7AE1" w:rsidP="000C7AE1">
            <w:pPr>
              <w:rPr>
                <w:sz w:val="18"/>
                <w:szCs w:val="18"/>
              </w:rPr>
            </w:pPr>
          </w:p>
        </w:tc>
        <w:tc>
          <w:tcPr>
            <w:tcW w:w="799" w:type="pct"/>
            <w:shd w:val="clear" w:color="auto" w:fill="auto"/>
            <w:vAlign w:val="center"/>
          </w:tcPr>
          <w:p w:rsidR="000C7AE1" w:rsidRPr="000C7AE1" w:rsidRDefault="000C7AE1" w:rsidP="000C7AE1">
            <w:pPr>
              <w:rPr>
                <w:sz w:val="18"/>
                <w:szCs w:val="18"/>
              </w:rPr>
            </w:pPr>
          </w:p>
        </w:tc>
        <w:tc>
          <w:tcPr>
            <w:tcW w:w="750" w:type="pct"/>
            <w:shd w:val="clear" w:color="auto" w:fill="auto"/>
            <w:vAlign w:val="center"/>
          </w:tcPr>
          <w:p w:rsidR="000C7AE1" w:rsidRPr="000C7AE1" w:rsidRDefault="000C7AE1" w:rsidP="000C7AE1">
            <w:pPr>
              <w:rPr>
                <w:sz w:val="18"/>
                <w:szCs w:val="18"/>
              </w:rPr>
            </w:pPr>
          </w:p>
        </w:tc>
      </w:tr>
    </w:tbl>
    <w:p w:rsidR="000C7AE1" w:rsidRPr="000C7AE1" w:rsidRDefault="000C7AE1" w:rsidP="000C7AE1">
      <w:pPr>
        <w:rPr>
          <w:sz w:val="18"/>
          <w:szCs w:val="18"/>
        </w:rPr>
      </w:pPr>
      <w:r w:rsidRPr="000C7AE1">
        <w:rPr>
          <w:sz w:val="18"/>
          <w:szCs w:val="18"/>
        </w:rPr>
        <w:t>*Provide the purpose or use of the location which could include, work, diagnostic, decontamination, storage, etc</w:t>
      </w:r>
      <w:proofErr w:type="gramStart"/>
      <w:r w:rsidRPr="000C7AE1">
        <w:rPr>
          <w:sz w:val="18"/>
          <w:szCs w:val="18"/>
        </w:rPr>
        <w:t>..</w:t>
      </w:r>
      <w:proofErr w:type="gramEnd"/>
    </w:p>
    <w:p w:rsidR="000C7AE1" w:rsidRPr="000C7AE1" w:rsidRDefault="000C7AE1" w:rsidP="000C7AE1">
      <w:pPr>
        <w:rPr>
          <w:sz w:val="18"/>
          <w:szCs w:val="18"/>
        </w:rPr>
      </w:pPr>
      <w:r w:rsidRPr="000C7AE1">
        <w:rPr>
          <w:sz w:val="18"/>
          <w:szCs w:val="18"/>
        </w:rPr>
        <w:t>**Safety equipment includes but is not limited to, biosafety cabinets, fume hoods, hand washing sinks, emergency eyewash and shower equipment.</w:t>
      </w:r>
    </w:p>
    <w:p w:rsidR="00891BC8" w:rsidRDefault="000C7AE1" w:rsidP="009F2CFE">
      <w:pPr>
        <w:rPr>
          <w:sz w:val="18"/>
          <w:szCs w:val="18"/>
        </w:rPr>
      </w:pPr>
      <w:r w:rsidRPr="000C7AE1">
        <w:rPr>
          <w:sz w:val="18"/>
          <w:szCs w:val="18"/>
        </w:rPr>
        <w:t xml:space="preserve">***Depending on the required containment level, there will be specific facility location, access, design and construction, air handling, containment perimeter, laboratory services, and safety equipment. Refer to the </w:t>
      </w:r>
      <w:r w:rsidR="009F2CFE" w:rsidRPr="009F2CFE">
        <w:rPr>
          <w:bCs/>
          <w:i/>
          <w:iCs/>
          <w:sz w:val="18"/>
          <w:szCs w:val="18"/>
        </w:rPr>
        <w:t>Canadian Biosafety Standard</w:t>
      </w:r>
      <w:r w:rsidR="009F2CFE" w:rsidRPr="009F2CFE">
        <w:rPr>
          <w:bCs/>
          <w:sz w:val="18"/>
          <w:szCs w:val="18"/>
        </w:rPr>
        <w:t xml:space="preserve"> (CBS), 2</w:t>
      </w:r>
      <w:r w:rsidR="009F2CFE" w:rsidRPr="009F2CFE">
        <w:rPr>
          <w:bCs/>
          <w:sz w:val="18"/>
          <w:szCs w:val="18"/>
          <w:vertAlign w:val="superscript"/>
        </w:rPr>
        <w:t>nd</w:t>
      </w:r>
      <w:r w:rsidR="009F2CFE" w:rsidRPr="009F2CFE">
        <w:rPr>
          <w:bCs/>
          <w:sz w:val="18"/>
          <w:szCs w:val="18"/>
        </w:rPr>
        <w:t xml:space="preserve"> Edition, 2015 </w:t>
      </w:r>
      <w:r w:rsidR="009F2CFE">
        <w:rPr>
          <w:bCs/>
          <w:sz w:val="18"/>
          <w:szCs w:val="18"/>
        </w:rPr>
        <w:t xml:space="preserve">and </w:t>
      </w:r>
      <w:r w:rsidR="009F2CFE" w:rsidRPr="009F2CFE">
        <w:rPr>
          <w:bCs/>
          <w:sz w:val="18"/>
          <w:szCs w:val="18"/>
        </w:rPr>
        <w:t xml:space="preserve">• </w:t>
      </w:r>
      <w:r w:rsidR="009F2CFE" w:rsidRPr="009F2CFE">
        <w:rPr>
          <w:bCs/>
          <w:i/>
          <w:iCs/>
          <w:sz w:val="18"/>
          <w:szCs w:val="18"/>
        </w:rPr>
        <w:t>Canadian Biosafety Handbook</w:t>
      </w:r>
      <w:r w:rsidR="009F2CFE" w:rsidRPr="009F2CFE">
        <w:rPr>
          <w:bCs/>
          <w:sz w:val="18"/>
          <w:szCs w:val="18"/>
        </w:rPr>
        <w:t xml:space="preserve"> (CBH), 2</w:t>
      </w:r>
      <w:r w:rsidR="009F2CFE" w:rsidRPr="009F2CFE">
        <w:rPr>
          <w:bCs/>
          <w:sz w:val="18"/>
          <w:szCs w:val="18"/>
          <w:vertAlign w:val="superscript"/>
        </w:rPr>
        <w:t>nd</w:t>
      </w:r>
      <w:r w:rsidR="009F2CFE" w:rsidRPr="009F2CFE">
        <w:rPr>
          <w:bCs/>
          <w:sz w:val="18"/>
          <w:szCs w:val="18"/>
        </w:rPr>
        <w:t xml:space="preserve"> Edition, 2015</w:t>
      </w:r>
      <w:r w:rsidR="009F2CFE">
        <w:rPr>
          <w:bCs/>
          <w:sz w:val="18"/>
          <w:szCs w:val="18"/>
        </w:rPr>
        <w:t>.</w:t>
      </w:r>
      <w:r w:rsidR="00891BC8">
        <w:rPr>
          <w:sz w:val="18"/>
          <w:szCs w:val="18"/>
        </w:rPr>
        <w:br w:type="page"/>
      </w:r>
    </w:p>
    <w:p w:rsidR="009F2CFE" w:rsidRPr="009F2CFE" w:rsidRDefault="00891BC8" w:rsidP="009F2CFE">
      <w:pPr>
        <w:pStyle w:val="Heading1"/>
        <w:numPr>
          <w:ilvl w:val="0"/>
          <w:numId w:val="24"/>
        </w:numPr>
      </w:pPr>
      <w:bookmarkStart w:id="10" w:name="_Toc316631998"/>
      <w:bookmarkStart w:id="11" w:name="_Toc516500697"/>
      <w:bookmarkStart w:id="12" w:name="_Toc516573337"/>
      <w:r w:rsidRPr="008D09EC">
        <w:lastRenderedPageBreak/>
        <w:t>Health and Safety Hazards</w:t>
      </w:r>
      <w:bookmarkEnd w:id="10"/>
      <w:bookmarkEnd w:id="11"/>
      <w:bookmarkEnd w:id="12"/>
    </w:p>
    <w:tbl>
      <w:tblPr>
        <w:tblpPr w:leftFromText="180" w:rightFromText="180" w:vertAnchor="text" w:tblpX="97" w:tblpY="205"/>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8"/>
      </w:tblGrid>
      <w:tr w:rsidR="001044C4" w:rsidTr="009F2CFE">
        <w:trPr>
          <w:trHeight w:val="10068"/>
        </w:trPr>
        <w:tc>
          <w:tcPr>
            <w:tcW w:w="9528" w:type="dxa"/>
            <w:shd w:val="clear" w:color="auto" w:fill="DFEBF5" w:themeFill="accent2" w:themeFillTint="33"/>
          </w:tcPr>
          <w:p w:rsidR="001044C4" w:rsidRPr="00A17D06" w:rsidRDefault="001044C4" w:rsidP="001044C4">
            <w:pPr>
              <w:rPr>
                <w:b/>
                <w:sz w:val="20"/>
              </w:rPr>
            </w:pPr>
            <w:r w:rsidRPr="00A17D06">
              <w:rPr>
                <w:b/>
                <w:sz w:val="20"/>
              </w:rPr>
              <w:t xml:space="preserve">Instructions: </w:t>
            </w:r>
          </w:p>
          <w:p w:rsidR="001044C4" w:rsidRPr="00A17D06" w:rsidRDefault="001044C4" w:rsidP="001044C4">
            <w:pPr>
              <w:rPr>
                <w:sz w:val="20"/>
              </w:rPr>
            </w:pPr>
          </w:p>
          <w:p w:rsidR="001044C4" w:rsidRPr="00A17D06" w:rsidRDefault="001044C4" w:rsidP="001044C4">
            <w:pPr>
              <w:rPr>
                <w:sz w:val="20"/>
              </w:rPr>
            </w:pPr>
            <w:r w:rsidRPr="00A17D06">
              <w:rPr>
                <w:sz w:val="20"/>
              </w:rPr>
              <w:t>To determine health and safety risks, including risks of exposure to pathogens and toxins, one must consider not only the types of biohazardous materials being used but also the proposed manipulations and handling of these materials under the research protocol or activity.</w:t>
            </w:r>
          </w:p>
          <w:p w:rsidR="001044C4" w:rsidRPr="00A17D06" w:rsidRDefault="001044C4" w:rsidP="001044C4">
            <w:pPr>
              <w:rPr>
                <w:sz w:val="20"/>
              </w:rPr>
            </w:pPr>
          </w:p>
          <w:p w:rsidR="001044C4" w:rsidRPr="00A17D06" w:rsidRDefault="001044C4" w:rsidP="001044C4">
            <w:pPr>
              <w:rPr>
                <w:sz w:val="20"/>
              </w:rPr>
            </w:pPr>
            <w:r w:rsidRPr="00A17D06">
              <w:rPr>
                <w:sz w:val="20"/>
              </w:rPr>
              <w:t>For each organism, biological material or biohazardous material, or class of materials (with similar risk characteristics), complete the following sections under Health and Safety Hazards.</w:t>
            </w:r>
          </w:p>
          <w:p w:rsidR="001044C4" w:rsidRPr="00A17D06" w:rsidRDefault="001044C4" w:rsidP="001044C4">
            <w:pPr>
              <w:rPr>
                <w:sz w:val="20"/>
              </w:rPr>
            </w:pPr>
          </w:p>
          <w:p w:rsidR="00DF053B" w:rsidRPr="00A17D06" w:rsidRDefault="00DF053B" w:rsidP="001044C4">
            <w:pPr>
              <w:numPr>
                <w:ilvl w:val="0"/>
                <w:numId w:val="34"/>
              </w:numPr>
              <w:rPr>
                <w:sz w:val="20"/>
              </w:rPr>
            </w:pPr>
            <w:r w:rsidRPr="00A17D06">
              <w:rPr>
                <w:sz w:val="20"/>
              </w:rPr>
              <w:t>Name of biological material, its risk group and required containment level.</w:t>
            </w:r>
          </w:p>
          <w:p w:rsidR="00DF053B" w:rsidRPr="00A17D06" w:rsidRDefault="00DF053B" w:rsidP="001044C4">
            <w:pPr>
              <w:numPr>
                <w:ilvl w:val="0"/>
                <w:numId w:val="34"/>
              </w:numPr>
              <w:rPr>
                <w:sz w:val="20"/>
              </w:rPr>
            </w:pPr>
            <w:r w:rsidRPr="00A17D06">
              <w:rPr>
                <w:sz w:val="20"/>
              </w:rPr>
              <w:t xml:space="preserve">Identify each procedure/technique that will be carried out under the permit. Include equipment and tools that will be used. </w:t>
            </w:r>
          </w:p>
          <w:p w:rsidR="00DF053B" w:rsidRPr="00A17D06" w:rsidRDefault="00DF053B" w:rsidP="001044C4">
            <w:pPr>
              <w:numPr>
                <w:ilvl w:val="0"/>
                <w:numId w:val="34"/>
              </w:numPr>
              <w:rPr>
                <w:sz w:val="20"/>
              </w:rPr>
            </w:pPr>
            <w:r w:rsidRPr="00A17D06">
              <w:rPr>
                <w:sz w:val="20"/>
              </w:rPr>
              <w:t>Identify the exposure hazards (risk groups 2) and any other health and safety hazards (e.g. chemical, radiological and physical) that exist for each procedure/technique.</w:t>
            </w:r>
          </w:p>
          <w:p w:rsidR="001044C4" w:rsidRPr="00A17D06" w:rsidRDefault="001044C4" w:rsidP="001044C4">
            <w:pPr>
              <w:rPr>
                <w:sz w:val="20"/>
              </w:rPr>
            </w:pPr>
          </w:p>
          <w:p w:rsidR="001044C4" w:rsidRPr="00A17D06" w:rsidRDefault="001044C4" w:rsidP="001044C4">
            <w:pPr>
              <w:rPr>
                <w:sz w:val="20"/>
              </w:rPr>
            </w:pPr>
            <w:r w:rsidRPr="00A17D06">
              <w:rPr>
                <w:sz w:val="20"/>
              </w:rPr>
              <w:t>Consider the key steps in each procedure/technique when identifying health and safety hazards.</w:t>
            </w:r>
          </w:p>
          <w:p w:rsidR="001044C4" w:rsidRPr="00A17D06" w:rsidRDefault="001044C4" w:rsidP="001044C4">
            <w:pPr>
              <w:rPr>
                <w:sz w:val="20"/>
              </w:rPr>
            </w:pPr>
          </w:p>
          <w:p w:rsidR="001044C4" w:rsidRPr="00A17D06" w:rsidRDefault="001044C4" w:rsidP="001044C4">
            <w:pPr>
              <w:rPr>
                <w:sz w:val="20"/>
              </w:rPr>
            </w:pPr>
            <w:r w:rsidRPr="00A17D06">
              <w:rPr>
                <w:sz w:val="20"/>
              </w:rPr>
              <w:t>The following procedures commonly used in the laboratory may create a risk of exposure to organisms or biohazardous material.</w:t>
            </w:r>
          </w:p>
          <w:p w:rsidR="00DF053B" w:rsidRPr="00A17D06" w:rsidRDefault="009F2CFE" w:rsidP="00923699">
            <w:pPr>
              <w:numPr>
                <w:ilvl w:val="0"/>
                <w:numId w:val="35"/>
              </w:numPr>
              <w:rPr>
                <w:sz w:val="16"/>
                <w:szCs w:val="16"/>
              </w:rPr>
            </w:pPr>
            <w:r w:rsidRPr="00A17D06">
              <w:rPr>
                <w:sz w:val="16"/>
                <w:szCs w:val="16"/>
              </w:rPr>
              <w:t>The use of needles or other sharps.</w:t>
            </w:r>
            <w:r w:rsidR="00923699" w:rsidRPr="00A17D06">
              <w:rPr>
                <w:sz w:val="16"/>
                <w:szCs w:val="16"/>
              </w:rPr>
              <w:t>(i.e. injections, phlebotomy, dissections)</w:t>
            </w:r>
          </w:p>
          <w:p w:rsidR="002D1F49" w:rsidRPr="00A17D06" w:rsidRDefault="00DF053B" w:rsidP="002D1F49">
            <w:pPr>
              <w:numPr>
                <w:ilvl w:val="0"/>
                <w:numId w:val="35"/>
              </w:numPr>
              <w:rPr>
                <w:sz w:val="16"/>
                <w:szCs w:val="16"/>
              </w:rPr>
            </w:pPr>
            <w:r w:rsidRPr="00A17D06">
              <w:rPr>
                <w:sz w:val="16"/>
                <w:szCs w:val="16"/>
              </w:rPr>
              <w:t xml:space="preserve">Handling </w:t>
            </w:r>
            <w:r w:rsidR="002D1F49" w:rsidRPr="00A17D06">
              <w:rPr>
                <w:sz w:val="16"/>
                <w:szCs w:val="16"/>
              </w:rPr>
              <w:t xml:space="preserve">human or animal blood, fluid, or tissue </w:t>
            </w:r>
            <w:r w:rsidRPr="00A17D06">
              <w:rPr>
                <w:sz w:val="16"/>
                <w:szCs w:val="16"/>
              </w:rPr>
              <w:t>;</w:t>
            </w:r>
          </w:p>
          <w:p w:rsidR="00DF053B" w:rsidRPr="00A17D06" w:rsidRDefault="00DF053B" w:rsidP="002D1F49">
            <w:pPr>
              <w:numPr>
                <w:ilvl w:val="0"/>
                <w:numId w:val="35"/>
              </w:numPr>
              <w:rPr>
                <w:sz w:val="16"/>
                <w:szCs w:val="16"/>
              </w:rPr>
            </w:pPr>
            <w:r w:rsidRPr="00A17D06">
              <w:rPr>
                <w:sz w:val="16"/>
                <w:szCs w:val="16"/>
              </w:rPr>
              <w:t xml:space="preserve">Pipetting, mixing, or </w:t>
            </w:r>
            <w:proofErr w:type="spellStart"/>
            <w:r w:rsidRPr="00A17D06">
              <w:rPr>
                <w:sz w:val="16"/>
                <w:szCs w:val="16"/>
              </w:rPr>
              <w:t>vortexing</w:t>
            </w:r>
            <w:proofErr w:type="spellEnd"/>
            <w:r w:rsidR="00923699" w:rsidRPr="00A17D06">
              <w:rPr>
                <w:sz w:val="16"/>
                <w:szCs w:val="16"/>
              </w:rPr>
              <w:t xml:space="preserve"> </w:t>
            </w:r>
            <w:r w:rsidR="002D1F49" w:rsidRPr="00A17D06">
              <w:rPr>
                <w:sz w:val="16"/>
                <w:szCs w:val="16"/>
              </w:rPr>
              <w:t>of pathogens and/or biohazardous material</w:t>
            </w:r>
          </w:p>
          <w:p w:rsidR="00DF053B" w:rsidRPr="00A17D06" w:rsidRDefault="00DF053B" w:rsidP="001044C4">
            <w:pPr>
              <w:numPr>
                <w:ilvl w:val="0"/>
                <w:numId w:val="35"/>
              </w:numPr>
              <w:rPr>
                <w:sz w:val="16"/>
                <w:szCs w:val="16"/>
              </w:rPr>
            </w:pPr>
            <w:r w:rsidRPr="00A17D06">
              <w:rPr>
                <w:sz w:val="16"/>
                <w:szCs w:val="16"/>
              </w:rPr>
              <w:t xml:space="preserve">Pipetting, mixing, or </w:t>
            </w:r>
            <w:proofErr w:type="spellStart"/>
            <w:r w:rsidRPr="00A17D06">
              <w:rPr>
                <w:sz w:val="16"/>
                <w:szCs w:val="16"/>
              </w:rPr>
              <w:t>vortexing</w:t>
            </w:r>
            <w:proofErr w:type="spellEnd"/>
            <w:r w:rsidRPr="00A17D06">
              <w:rPr>
                <w:sz w:val="16"/>
                <w:szCs w:val="16"/>
              </w:rPr>
              <w:t xml:space="preserve"> </w:t>
            </w:r>
            <w:r w:rsidR="002D1F49" w:rsidRPr="00A17D06">
              <w:rPr>
                <w:sz w:val="16"/>
                <w:szCs w:val="16"/>
              </w:rPr>
              <w:t xml:space="preserve"> pathogens and/or </w:t>
            </w:r>
            <w:r w:rsidRPr="00A17D06">
              <w:rPr>
                <w:sz w:val="16"/>
                <w:szCs w:val="16"/>
              </w:rPr>
              <w:t>biohazardous material;</w:t>
            </w:r>
          </w:p>
          <w:p w:rsidR="00DF053B" w:rsidRPr="00A17D06" w:rsidRDefault="00DF053B" w:rsidP="001044C4">
            <w:pPr>
              <w:numPr>
                <w:ilvl w:val="0"/>
                <w:numId w:val="35"/>
              </w:numPr>
              <w:rPr>
                <w:sz w:val="16"/>
                <w:szCs w:val="16"/>
              </w:rPr>
            </w:pPr>
            <w:r w:rsidRPr="00A17D06">
              <w:rPr>
                <w:sz w:val="16"/>
                <w:szCs w:val="16"/>
              </w:rPr>
              <w:t xml:space="preserve">Centrifuging </w:t>
            </w:r>
            <w:r w:rsidR="002D1F49" w:rsidRPr="00A17D06">
              <w:rPr>
                <w:sz w:val="16"/>
                <w:szCs w:val="16"/>
              </w:rPr>
              <w:t>pathogens</w:t>
            </w:r>
            <w:r w:rsidRPr="00A17D06">
              <w:rPr>
                <w:sz w:val="16"/>
                <w:szCs w:val="16"/>
              </w:rPr>
              <w:t xml:space="preserve"> or biohazardous material</w:t>
            </w:r>
            <w:r w:rsidR="002D1F49" w:rsidRPr="00A17D06">
              <w:rPr>
                <w:sz w:val="16"/>
                <w:szCs w:val="16"/>
              </w:rPr>
              <w:t xml:space="preserve">. </w:t>
            </w:r>
          </w:p>
          <w:p w:rsidR="00DF053B" w:rsidRPr="00A17D06" w:rsidRDefault="00DF053B" w:rsidP="001044C4">
            <w:pPr>
              <w:numPr>
                <w:ilvl w:val="0"/>
                <w:numId w:val="35"/>
              </w:numPr>
              <w:rPr>
                <w:sz w:val="16"/>
                <w:szCs w:val="16"/>
              </w:rPr>
            </w:pPr>
            <w:r w:rsidRPr="00A17D06">
              <w:rPr>
                <w:sz w:val="16"/>
                <w:szCs w:val="16"/>
              </w:rPr>
              <w:t>Preparing or handling human, animal or biohazardous material cell cultures;</w:t>
            </w:r>
          </w:p>
          <w:p w:rsidR="00DF053B" w:rsidRPr="00A17D06" w:rsidRDefault="00DF053B" w:rsidP="001044C4">
            <w:pPr>
              <w:numPr>
                <w:ilvl w:val="0"/>
                <w:numId w:val="35"/>
              </w:numPr>
              <w:rPr>
                <w:sz w:val="16"/>
                <w:szCs w:val="16"/>
              </w:rPr>
            </w:pPr>
            <w:r w:rsidRPr="00A17D06">
              <w:rPr>
                <w:sz w:val="16"/>
                <w:szCs w:val="16"/>
              </w:rPr>
              <w:t>Handling contaminated sharps or other contaminated waste; and</w:t>
            </w:r>
          </w:p>
          <w:p w:rsidR="00DF053B" w:rsidRPr="00A17D06" w:rsidRDefault="00DF053B" w:rsidP="001044C4">
            <w:pPr>
              <w:numPr>
                <w:ilvl w:val="0"/>
                <w:numId w:val="35"/>
              </w:numPr>
              <w:rPr>
                <w:sz w:val="16"/>
                <w:szCs w:val="16"/>
              </w:rPr>
            </w:pPr>
            <w:r w:rsidRPr="00A17D06">
              <w:rPr>
                <w:sz w:val="16"/>
                <w:szCs w:val="16"/>
              </w:rPr>
              <w:t>Cleaning spills of human or animal blood or other body fluids or biological hazardous material.</w:t>
            </w:r>
          </w:p>
          <w:p w:rsidR="00DF053B" w:rsidRPr="00A17D06" w:rsidRDefault="00DF053B" w:rsidP="001044C4">
            <w:pPr>
              <w:numPr>
                <w:ilvl w:val="0"/>
                <w:numId w:val="35"/>
              </w:numPr>
              <w:rPr>
                <w:sz w:val="16"/>
                <w:szCs w:val="16"/>
              </w:rPr>
            </w:pPr>
            <w:r w:rsidRPr="00A17D06">
              <w:rPr>
                <w:sz w:val="16"/>
                <w:szCs w:val="16"/>
              </w:rPr>
              <w:t>Identify the possible diseases or adverse health effects associated with exposure to the organism or biohazardous material (risk groups 2). Include the signs and symptoms of known diseases.</w:t>
            </w:r>
          </w:p>
          <w:p w:rsidR="00DF053B" w:rsidRPr="00A17D06" w:rsidRDefault="00DF053B" w:rsidP="001044C4">
            <w:pPr>
              <w:numPr>
                <w:ilvl w:val="0"/>
                <w:numId w:val="35"/>
              </w:numPr>
              <w:rPr>
                <w:sz w:val="16"/>
                <w:szCs w:val="16"/>
              </w:rPr>
            </w:pPr>
            <w:r w:rsidRPr="00A17D06">
              <w:rPr>
                <w:sz w:val="16"/>
                <w:szCs w:val="16"/>
              </w:rPr>
              <w:t>Identify the exposure routes for the organism or biohazardous material (inhalation, ingestion, skin contact, injection).</w:t>
            </w:r>
          </w:p>
          <w:p w:rsidR="00DF053B" w:rsidRPr="00A17D06" w:rsidRDefault="00DF053B" w:rsidP="001044C4">
            <w:pPr>
              <w:numPr>
                <w:ilvl w:val="0"/>
                <w:numId w:val="35"/>
              </w:numPr>
              <w:rPr>
                <w:sz w:val="20"/>
              </w:rPr>
            </w:pPr>
            <w:r w:rsidRPr="00A17D06">
              <w:rPr>
                <w:sz w:val="16"/>
                <w:szCs w:val="16"/>
              </w:rPr>
              <w:t>Provide a description of known allergies that could develop from working with the organism(s) (risk groups 1, 2). Include symptoms of the allergies</w:t>
            </w:r>
            <w:r w:rsidRPr="00A17D06">
              <w:rPr>
                <w:sz w:val="20"/>
              </w:rPr>
              <w:t>.</w:t>
            </w:r>
            <w:r w:rsidR="002D1F49" w:rsidRPr="00A17D06">
              <w:rPr>
                <w:sz w:val="20"/>
              </w:rPr>
              <w:t xml:space="preserve"> </w:t>
            </w:r>
          </w:p>
          <w:p w:rsidR="001044C4" w:rsidRPr="00A17D06" w:rsidRDefault="001044C4" w:rsidP="001044C4">
            <w:pPr>
              <w:rPr>
                <w:sz w:val="20"/>
              </w:rPr>
            </w:pPr>
          </w:p>
          <w:p w:rsidR="001044C4" w:rsidRPr="00A17D06" w:rsidRDefault="001044C4" w:rsidP="001044C4">
            <w:pPr>
              <w:rPr>
                <w:b/>
                <w:sz w:val="20"/>
              </w:rPr>
            </w:pPr>
            <w:r w:rsidRPr="00A17D06">
              <w:rPr>
                <w:b/>
                <w:sz w:val="20"/>
              </w:rPr>
              <w:t>Resources</w:t>
            </w:r>
          </w:p>
          <w:p w:rsidR="00226C1E" w:rsidRPr="00A17D06" w:rsidRDefault="00226C1E" w:rsidP="00226C1E">
            <w:pPr>
              <w:pStyle w:val="ListParagraph"/>
              <w:numPr>
                <w:ilvl w:val="0"/>
                <w:numId w:val="39"/>
              </w:numPr>
              <w:rPr>
                <w:sz w:val="20"/>
                <w:lang w:val="en-CA"/>
              </w:rPr>
            </w:pPr>
            <w:r w:rsidRPr="00A17D06">
              <w:rPr>
                <w:sz w:val="20"/>
                <w:lang w:val="en-CA"/>
              </w:rPr>
              <w:t>Canadian Biosafety Standard (CBS), 2nd Edition, 2015</w:t>
            </w:r>
          </w:p>
          <w:p w:rsidR="00DF053B" w:rsidRPr="00A17D06" w:rsidRDefault="00226C1E" w:rsidP="00226C1E">
            <w:pPr>
              <w:rPr>
                <w:sz w:val="20"/>
              </w:rPr>
            </w:pPr>
            <w:r w:rsidRPr="00A17D06">
              <w:rPr>
                <w:sz w:val="20"/>
              </w:rPr>
              <w:t xml:space="preserve"> </w:t>
            </w:r>
            <w:r w:rsidR="00DF053B" w:rsidRPr="00A17D06">
              <w:rPr>
                <w:sz w:val="20"/>
              </w:rPr>
              <w:t>(</w:t>
            </w:r>
            <w:hyperlink r:id="rId25" w:history="1">
              <w:r w:rsidR="00DF053B" w:rsidRPr="00A17D06">
                <w:rPr>
                  <w:rStyle w:val="Hyperlink"/>
                  <w:sz w:val="20"/>
                </w:rPr>
                <w:t>http://canadianbiosafetystandards.collaboration.gc.ca</w:t>
              </w:r>
            </w:hyperlink>
            <w:r w:rsidR="00DF053B" w:rsidRPr="00A17D06">
              <w:rPr>
                <w:sz w:val="20"/>
              </w:rPr>
              <w:t>)</w:t>
            </w:r>
            <w:r w:rsidR="001044C4" w:rsidRPr="00A17D06">
              <w:rPr>
                <w:sz w:val="20"/>
              </w:rPr>
              <w:t xml:space="preserve"> </w:t>
            </w:r>
            <w:r w:rsidR="00DF053B" w:rsidRPr="00A17D06">
              <w:rPr>
                <w:sz w:val="20"/>
              </w:rPr>
              <w:t xml:space="preserve"> </w:t>
            </w:r>
          </w:p>
          <w:p w:rsidR="00DF053B" w:rsidRPr="00A17D06" w:rsidRDefault="00DF053B" w:rsidP="001044C4">
            <w:pPr>
              <w:numPr>
                <w:ilvl w:val="0"/>
                <w:numId w:val="36"/>
              </w:numPr>
              <w:rPr>
                <w:sz w:val="20"/>
              </w:rPr>
            </w:pPr>
            <w:r w:rsidRPr="00A17D06">
              <w:rPr>
                <w:sz w:val="20"/>
              </w:rPr>
              <w:t>Containment Standards for Facilities Handling Plan Pests, CFIA,</w:t>
            </w:r>
          </w:p>
          <w:p w:rsidR="00DF053B" w:rsidRPr="00A17D06" w:rsidRDefault="00DF053B" w:rsidP="001044C4">
            <w:pPr>
              <w:rPr>
                <w:sz w:val="20"/>
              </w:rPr>
            </w:pPr>
            <w:r w:rsidRPr="00A17D06">
              <w:rPr>
                <w:sz w:val="20"/>
              </w:rPr>
              <w:t>(</w:t>
            </w:r>
            <w:hyperlink r:id="rId26" w:history="1">
              <w:r w:rsidRPr="00A17D06">
                <w:rPr>
                  <w:rStyle w:val="Hyperlink"/>
                  <w:sz w:val="20"/>
                </w:rPr>
                <w:t>http://www.inspection.gc.ca/english/sci/bio/plaveg/placone.pdf</w:t>
              </w:r>
            </w:hyperlink>
            <w:r w:rsidRPr="00A17D06">
              <w:rPr>
                <w:sz w:val="20"/>
              </w:rPr>
              <w:t>).</w:t>
            </w:r>
            <w:r w:rsidR="001044C4" w:rsidRPr="00A17D06">
              <w:rPr>
                <w:sz w:val="20"/>
              </w:rPr>
              <w:t xml:space="preserve"> </w:t>
            </w:r>
            <w:r w:rsidRPr="00A17D06">
              <w:rPr>
                <w:sz w:val="20"/>
              </w:rPr>
              <w:t xml:space="preserve"> </w:t>
            </w:r>
          </w:p>
          <w:p w:rsidR="00DF053B" w:rsidRPr="00A17D06" w:rsidRDefault="00DF053B" w:rsidP="001044C4">
            <w:pPr>
              <w:numPr>
                <w:ilvl w:val="0"/>
                <w:numId w:val="36"/>
              </w:numPr>
              <w:rPr>
                <w:sz w:val="20"/>
              </w:rPr>
            </w:pPr>
            <w:r w:rsidRPr="00A17D06">
              <w:rPr>
                <w:sz w:val="20"/>
              </w:rPr>
              <w:t>Containment Standards for Facilities Handling Aquatic Animal Pathogens, CFIA,</w:t>
            </w:r>
          </w:p>
          <w:p w:rsidR="00DF053B" w:rsidRPr="00A17D06" w:rsidRDefault="00DF053B" w:rsidP="001044C4">
            <w:pPr>
              <w:rPr>
                <w:sz w:val="20"/>
              </w:rPr>
            </w:pPr>
            <w:r w:rsidRPr="00A17D06">
              <w:rPr>
                <w:sz w:val="20"/>
              </w:rPr>
              <w:t>(</w:t>
            </w:r>
            <w:hyperlink r:id="rId27" w:history="1">
              <w:r w:rsidRPr="00A17D06">
                <w:rPr>
                  <w:rStyle w:val="Hyperlink"/>
                  <w:sz w:val="20"/>
                </w:rPr>
                <w:t>http://www.inspection.gc.ca/english/sci/bio/anima/aqu/csfncie.pdf</w:t>
              </w:r>
            </w:hyperlink>
            <w:r w:rsidRPr="00A17D06">
              <w:rPr>
                <w:sz w:val="20"/>
              </w:rPr>
              <w:t>).</w:t>
            </w:r>
            <w:r w:rsidR="001044C4" w:rsidRPr="00A17D06">
              <w:rPr>
                <w:sz w:val="20"/>
              </w:rPr>
              <w:t xml:space="preserve"> </w:t>
            </w:r>
            <w:r w:rsidRPr="00A17D06">
              <w:rPr>
                <w:sz w:val="20"/>
              </w:rPr>
              <w:t xml:space="preserve"> </w:t>
            </w:r>
          </w:p>
          <w:p w:rsidR="00DF053B" w:rsidRPr="00A17D06" w:rsidRDefault="00DF053B" w:rsidP="001044C4">
            <w:pPr>
              <w:numPr>
                <w:ilvl w:val="0"/>
                <w:numId w:val="36"/>
              </w:numPr>
              <w:rPr>
                <w:sz w:val="20"/>
              </w:rPr>
            </w:pPr>
            <w:r w:rsidRPr="00A17D06">
              <w:rPr>
                <w:sz w:val="20"/>
              </w:rPr>
              <w:t>Laboratory Biosafety Manual, World Health Organization,</w:t>
            </w:r>
          </w:p>
          <w:p w:rsidR="00DF053B" w:rsidRPr="00A17D06" w:rsidRDefault="00DF053B" w:rsidP="001044C4">
            <w:pPr>
              <w:rPr>
                <w:sz w:val="20"/>
              </w:rPr>
            </w:pPr>
            <w:r w:rsidRPr="00A17D06">
              <w:rPr>
                <w:sz w:val="20"/>
              </w:rPr>
              <w:t>(</w:t>
            </w:r>
            <w:hyperlink r:id="rId28" w:history="1">
              <w:r w:rsidRPr="00A17D06">
                <w:rPr>
                  <w:rStyle w:val="Hyperlink"/>
                  <w:sz w:val="20"/>
                </w:rPr>
                <w:t>http://www.who.int/csr/resources/publications/biosafety/WHO_CDS_CSR_LYO_2004_11/en/</w:t>
              </w:r>
            </w:hyperlink>
            <w:proofErr w:type="gramStart"/>
            <w:r w:rsidRPr="00A17D06">
              <w:rPr>
                <w:sz w:val="20"/>
              </w:rPr>
              <w:t>)</w:t>
            </w:r>
            <w:r w:rsidR="001044C4" w:rsidRPr="00A17D06">
              <w:rPr>
                <w:sz w:val="20"/>
              </w:rPr>
              <w:t xml:space="preserve"> </w:t>
            </w:r>
            <w:r w:rsidRPr="00A17D06">
              <w:rPr>
                <w:sz w:val="20"/>
              </w:rPr>
              <w:t>.</w:t>
            </w:r>
            <w:proofErr w:type="gramEnd"/>
            <w:r w:rsidRPr="00A17D06">
              <w:rPr>
                <w:sz w:val="20"/>
              </w:rPr>
              <w:t xml:space="preserve"> </w:t>
            </w:r>
          </w:p>
          <w:p w:rsidR="001044C4" w:rsidRPr="00A17D06" w:rsidRDefault="00DF053B" w:rsidP="001044C4">
            <w:pPr>
              <w:numPr>
                <w:ilvl w:val="0"/>
                <w:numId w:val="36"/>
              </w:numPr>
              <w:rPr>
                <w:sz w:val="20"/>
              </w:rPr>
            </w:pPr>
            <w:r w:rsidRPr="00A17D06">
              <w:rPr>
                <w:sz w:val="20"/>
              </w:rPr>
              <w:t>Biosafety in Microbiological and Biomedical Laboratories, Centers for Disease Control, National Institutes of Health,</w:t>
            </w:r>
            <w:r w:rsidR="001044C4" w:rsidRPr="00A17D06">
              <w:rPr>
                <w:sz w:val="20"/>
              </w:rPr>
              <w:t xml:space="preserve"> </w:t>
            </w:r>
            <w:r w:rsidRPr="00A17D06">
              <w:rPr>
                <w:sz w:val="20"/>
              </w:rPr>
              <w:t>(</w:t>
            </w:r>
            <w:hyperlink r:id="rId29" w:history="1">
              <w:r w:rsidRPr="00A17D06">
                <w:rPr>
                  <w:rStyle w:val="Hyperlink"/>
                  <w:sz w:val="20"/>
                </w:rPr>
                <w:t>http://www.cdc.gov/biosafety/publications/bmbl5/BMBL.pdf</w:t>
              </w:r>
            </w:hyperlink>
            <w:r w:rsidRPr="00A17D06">
              <w:rPr>
                <w:sz w:val="20"/>
              </w:rPr>
              <w:t>).</w:t>
            </w:r>
            <w:r w:rsidR="001044C4" w:rsidRPr="00A17D06">
              <w:rPr>
                <w:sz w:val="20"/>
              </w:rPr>
              <w:t xml:space="preserve"> </w:t>
            </w:r>
            <w:r w:rsidRPr="00A17D06">
              <w:rPr>
                <w:sz w:val="20"/>
              </w:rPr>
              <w:t xml:space="preserve"> </w:t>
            </w:r>
          </w:p>
        </w:tc>
      </w:tr>
    </w:tbl>
    <w:p w:rsidR="00DF053B" w:rsidRDefault="00DF053B" w:rsidP="001044C4">
      <w:pPr>
        <w:rPr>
          <w:sz w:val="18"/>
          <w:szCs w:val="18"/>
        </w:rPr>
      </w:pPr>
    </w:p>
    <w:p w:rsidR="00DF053B" w:rsidRDefault="00DF053B" w:rsidP="001044C4">
      <w:pPr>
        <w:rPr>
          <w:sz w:val="18"/>
          <w:szCs w:val="18"/>
        </w:rPr>
      </w:pPr>
    </w:p>
    <w:p w:rsidR="00DF053B" w:rsidRDefault="00DF053B" w:rsidP="00DF053B">
      <w:pPr>
        <w:rPr>
          <w:sz w:val="18"/>
          <w:szCs w:val="18"/>
        </w:rPr>
      </w:pPr>
    </w:p>
    <w:p w:rsidR="00DC454D" w:rsidRPr="00891BC8" w:rsidRDefault="00891BC8" w:rsidP="00DF053B">
      <w:pPr>
        <w:rPr>
          <w:rFonts w:cs="Arial"/>
          <w:sz w:val="18"/>
          <w:szCs w:val="18"/>
        </w:rPr>
      </w:pPr>
      <w:r w:rsidRPr="00891BC8">
        <w:rPr>
          <w:rFonts w:cs="Arial"/>
          <w:i/>
          <w:sz w:val="18"/>
          <w:szCs w:val="18"/>
        </w:rPr>
        <w:t>ENTER TEXT HERE….</w:t>
      </w:r>
    </w:p>
    <w:p w:rsidR="00891BC8" w:rsidRPr="00891BC8" w:rsidRDefault="00891BC8" w:rsidP="00DF053B">
      <w:pPr>
        <w:rPr>
          <w:rFonts w:cs="Arial"/>
          <w:sz w:val="18"/>
          <w:szCs w:val="18"/>
        </w:rPr>
      </w:pPr>
    </w:p>
    <w:p w:rsidR="008F05C5" w:rsidRPr="008D09EC" w:rsidRDefault="00891BC8" w:rsidP="00DF053B">
      <w:pPr>
        <w:pStyle w:val="Heading1"/>
        <w:numPr>
          <w:ilvl w:val="0"/>
          <w:numId w:val="24"/>
        </w:numPr>
      </w:pPr>
      <w:r w:rsidRPr="008F05C5">
        <w:rPr>
          <w:sz w:val="18"/>
          <w:szCs w:val="18"/>
        </w:rPr>
        <w:br w:type="page"/>
      </w:r>
      <w:bookmarkStart w:id="13" w:name="_Toc316631999"/>
      <w:bookmarkStart w:id="14" w:name="_Toc516500698"/>
      <w:bookmarkStart w:id="15" w:name="_Toc516573338"/>
      <w:r w:rsidR="008F05C5" w:rsidRPr="008D09EC">
        <w:lastRenderedPageBreak/>
        <w:t>Health and Safety Control Measures</w:t>
      </w:r>
      <w:bookmarkEnd w:id="13"/>
      <w:bookmarkEnd w:id="14"/>
      <w:bookmarkEnd w:id="15"/>
    </w:p>
    <w:p w:rsidR="008F05C5" w:rsidRPr="008F05C5" w:rsidRDefault="008F05C5" w:rsidP="008F05C5">
      <w:pPr>
        <w:rPr>
          <w:rFonts w:cs="Arial"/>
          <w:sz w:val="24"/>
          <w:szCs w:val="24"/>
        </w:rPr>
      </w:pPr>
    </w:p>
    <w:tbl>
      <w:tblPr>
        <w:tblStyle w:val="TableGrid"/>
        <w:tblW w:w="0" w:type="auto"/>
        <w:shd w:val="pct10" w:color="auto" w:fill="auto"/>
        <w:tblLook w:val="04A0" w:firstRow="1" w:lastRow="0" w:firstColumn="1" w:lastColumn="0" w:noHBand="0" w:noVBand="1"/>
      </w:tblPr>
      <w:tblGrid>
        <w:gridCol w:w="9350"/>
      </w:tblGrid>
      <w:tr w:rsidR="008F05C5" w:rsidRPr="008F05C5" w:rsidTr="001044C4">
        <w:tc>
          <w:tcPr>
            <w:tcW w:w="9576" w:type="dxa"/>
            <w:shd w:val="clear" w:color="auto" w:fill="DFEBF5" w:themeFill="accent2" w:themeFillTint="33"/>
          </w:tcPr>
          <w:p w:rsidR="008F05C5" w:rsidRPr="00A17D06" w:rsidRDefault="008F05C5" w:rsidP="008F05C5">
            <w:pPr>
              <w:rPr>
                <w:rFonts w:cs="Arial"/>
                <w:b/>
                <w:sz w:val="20"/>
              </w:rPr>
            </w:pPr>
            <w:r w:rsidRPr="00A17D06">
              <w:rPr>
                <w:rFonts w:cs="Arial"/>
                <w:b/>
                <w:sz w:val="20"/>
              </w:rPr>
              <w:t xml:space="preserve">Instructions:  </w:t>
            </w:r>
          </w:p>
          <w:p w:rsidR="008F05C5" w:rsidRPr="00A17D06" w:rsidRDefault="008F05C5" w:rsidP="008F05C5">
            <w:pPr>
              <w:rPr>
                <w:rFonts w:cs="Arial"/>
                <w:b/>
                <w:sz w:val="20"/>
              </w:rPr>
            </w:pPr>
          </w:p>
          <w:p w:rsidR="008F05C5" w:rsidRPr="00A17D06" w:rsidRDefault="008F05C5" w:rsidP="008F05C5">
            <w:pPr>
              <w:rPr>
                <w:rFonts w:cs="Arial"/>
                <w:sz w:val="20"/>
              </w:rPr>
            </w:pPr>
            <w:r w:rsidRPr="00A17D06">
              <w:rPr>
                <w:rFonts w:cs="Arial"/>
                <w:sz w:val="20"/>
              </w:rPr>
              <w:t>Describe the safety measures that are in place to protect workers from exposure to biohazards, or other identified hazards. Safety measures should be commensurate with the identified hazards and may include:</w:t>
            </w:r>
          </w:p>
          <w:p w:rsidR="008F05C5" w:rsidRPr="00A17D06" w:rsidRDefault="008F05C5" w:rsidP="008F05C5">
            <w:pPr>
              <w:rPr>
                <w:rFonts w:cs="Arial"/>
                <w:sz w:val="20"/>
              </w:rPr>
            </w:pPr>
          </w:p>
          <w:p w:rsidR="008F05C5" w:rsidRPr="00A17D06" w:rsidRDefault="008F05C5" w:rsidP="008F05C5">
            <w:pPr>
              <w:numPr>
                <w:ilvl w:val="0"/>
                <w:numId w:val="4"/>
              </w:numPr>
              <w:rPr>
                <w:rFonts w:cs="Arial"/>
                <w:sz w:val="20"/>
              </w:rPr>
            </w:pPr>
            <w:r w:rsidRPr="00A17D06">
              <w:rPr>
                <w:rFonts w:cs="Arial"/>
                <w:sz w:val="20"/>
              </w:rPr>
              <w:t>Engineering controls (i.e. facility design, biosafety cabinets, fume hoods, chemical storage);</w:t>
            </w:r>
          </w:p>
          <w:p w:rsidR="008F05C5" w:rsidRPr="00A17D06" w:rsidRDefault="00226C1E" w:rsidP="008F05C5">
            <w:pPr>
              <w:numPr>
                <w:ilvl w:val="0"/>
                <w:numId w:val="4"/>
              </w:numPr>
              <w:rPr>
                <w:rFonts w:cs="Arial"/>
                <w:sz w:val="20"/>
              </w:rPr>
            </w:pPr>
            <w:r w:rsidRPr="00A17D06">
              <w:rPr>
                <w:rFonts w:cs="Arial"/>
                <w:sz w:val="20"/>
              </w:rPr>
              <w:t xml:space="preserve">Administrative controls: </w:t>
            </w:r>
            <w:r w:rsidR="008F05C5" w:rsidRPr="00A17D06">
              <w:rPr>
                <w:rFonts w:cs="Arial"/>
                <w:sz w:val="20"/>
              </w:rPr>
              <w:t>Work procedures</w:t>
            </w:r>
            <w:r w:rsidRPr="00A17D06">
              <w:rPr>
                <w:rFonts w:cs="Arial"/>
                <w:sz w:val="20"/>
              </w:rPr>
              <w:t>, SOP, guidelines, code of practice</w:t>
            </w:r>
            <w:r w:rsidR="008F05C5" w:rsidRPr="00A17D06">
              <w:rPr>
                <w:rFonts w:cs="Arial"/>
                <w:sz w:val="20"/>
              </w:rPr>
              <w:t>;</w:t>
            </w:r>
          </w:p>
          <w:p w:rsidR="008F05C5" w:rsidRPr="00A17D06" w:rsidRDefault="008F05C5" w:rsidP="008F05C5">
            <w:pPr>
              <w:numPr>
                <w:ilvl w:val="0"/>
                <w:numId w:val="4"/>
              </w:numPr>
              <w:rPr>
                <w:rFonts w:cs="Arial"/>
                <w:sz w:val="20"/>
              </w:rPr>
            </w:pPr>
            <w:r w:rsidRPr="00A17D06">
              <w:rPr>
                <w:rFonts w:cs="Arial"/>
                <w:sz w:val="20"/>
              </w:rPr>
              <w:t>Personal protective equipment (PPE);</w:t>
            </w:r>
          </w:p>
          <w:p w:rsidR="008F05C5" w:rsidRPr="00A17D06" w:rsidRDefault="008F05C5" w:rsidP="008F05C5">
            <w:pPr>
              <w:numPr>
                <w:ilvl w:val="0"/>
                <w:numId w:val="4"/>
              </w:numPr>
              <w:rPr>
                <w:rFonts w:cs="Arial"/>
                <w:sz w:val="20"/>
              </w:rPr>
            </w:pPr>
            <w:r w:rsidRPr="00A17D06">
              <w:rPr>
                <w:rFonts w:cs="Arial"/>
                <w:sz w:val="20"/>
              </w:rPr>
              <w:t>Medical surveillance (medical examination, vaccinations if available and recommended, serum screening);</w:t>
            </w:r>
          </w:p>
          <w:p w:rsidR="008F05C5" w:rsidRPr="00A17D06" w:rsidRDefault="008F05C5" w:rsidP="008F05C5">
            <w:pPr>
              <w:rPr>
                <w:rFonts w:cs="Arial"/>
                <w:sz w:val="20"/>
              </w:rPr>
            </w:pPr>
          </w:p>
          <w:p w:rsidR="008F05C5" w:rsidRPr="00A17D06" w:rsidRDefault="008F05C5" w:rsidP="008F05C5">
            <w:pPr>
              <w:rPr>
                <w:rFonts w:cs="Arial"/>
                <w:sz w:val="20"/>
              </w:rPr>
            </w:pPr>
            <w:r w:rsidRPr="00A17D06">
              <w:rPr>
                <w:rFonts w:cs="Arial"/>
                <w:sz w:val="20"/>
              </w:rPr>
              <w:t xml:space="preserve">In this section, also outline the methods and </w:t>
            </w:r>
            <w:r w:rsidR="00C22CB1" w:rsidRPr="00A17D06">
              <w:rPr>
                <w:rFonts w:cs="Arial"/>
                <w:sz w:val="20"/>
              </w:rPr>
              <w:t>SOP</w:t>
            </w:r>
            <w:r w:rsidRPr="00A17D06">
              <w:rPr>
                <w:rFonts w:cs="Arial"/>
                <w:sz w:val="20"/>
              </w:rPr>
              <w:t xml:space="preserve"> to be used for the disinfection and decontamination of work areas, equipment and materials.</w:t>
            </w:r>
          </w:p>
          <w:p w:rsidR="008F05C5" w:rsidRPr="00A17D06" w:rsidRDefault="008F05C5" w:rsidP="008F05C5">
            <w:pPr>
              <w:rPr>
                <w:rFonts w:cs="Arial"/>
                <w:sz w:val="20"/>
              </w:rPr>
            </w:pPr>
          </w:p>
          <w:p w:rsidR="008F05C5" w:rsidRPr="00A17D06" w:rsidRDefault="008F05C5" w:rsidP="008F05C5">
            <w:pPr>
              <w:rPr>
                <w:rFonts w:cs="Arial"/>
                <w:b/>
                <w:sz w:val="20"/>
                <w:u w:val="single"/>
              </w:rPr>
            </w:pPr>
            <w:r w:rsidRPr="00A17D06">
              <w:rPr>
                <w:rFonts w:cs="Arial"/>
                <w:b/>
                <w:sz w:val="20"/>
                <w:u w:val="single"/>
              </w:rPr>
              <w:t>Resources</w:t>
            </w:r>
          </w:p>
          <w:p w:rsidR="008F05C5" w:rsidRPr="00A17D06" w:rsidRDefault="008F05C5" w:rsidP="008F05C5">
            <w:pPr>
              <w:rPr>
                <w:rFonts w:cs="Arial"/>
                <w:sz w:val="20"/>
              </w:rPr>
            </w:pPr>
          </w:p>
          <w:p w:rsidR="008F05C5" w:rsidRPr="00A17D06" w:rsidRDefault="008F05C5" w:rsidP="008F05C5">
            <w:pPr>
              <w:rPr>
                <w:rFonts w:cs="Arial"/>
                <w:sz w:val="20"/>
              </w:rPr>
            </w:pPr>
            <w:r w:rsidRPr="00A17D06">
              <w:rPr>
                <w:rFonts w:cs="Arial"/>
                <w:sz w:val="20"/>
              </w:rPr>
              <w:t>Following are resources that provide information on biosafety.</w:t>
            </w:r>
          </w:p>
          <w:p w:rsidR="008F05C5" w:rsidRPr="00A17D06" w:rsidRDefault="008F05C5" w:rsidP="008F05C5">
            <w:pPr>
              <w:rPr>
                <w:rFonts w:cs="Arial"/>
                <w:sz w:val="20"/>
              </w:rPr>
            </w:pPr>
          </w:p>
          <w:p w:rsidR="00BE76DE" w:rsidRPr="00A17D06" w:rsidRDefault="00BE76DE" w:rsidP="00BE76DE">
            <w:pPr>
              <w:numPr>
                <w:ilvl w:val="0"/>
                <w:numId w:val="4"/>
              </w:numPr>
              <w:rPr>
                <w:bCs/>
                <w:i/>
                <w:sz w:val="20"/>
                <w:lang w:val="en-CA"/>
              </w:rPr>
            </w:pPr>
            <w:r w:rsidRPr="00A17D06">
              <w:rPr>
                <w:bCs/>
                <w:i/>
                <w:sz w:val="20"/>
                <w:lang w:val="en-CA"/>
              </w:rPr>
              <w:t>Canadian Biosafety Standard (CBS), 2nd Edition, 2015</w:t>
            </w:r>
          </w:p>
          <w:p w:rsidR="00922A87" w:rsidRPr="00A17D06" w:rsidRDefault="00BE76DE" w:rsidP="00BE76DE">
            <w:pPr>
              <w:rPr>
                <w:rStyle w:val="Hyperlink"/>
                <w:rFonts w:cs="Arial"/>
                <w:color w:val="auto"/>
                <w:sz w:val="20"/>
                <w:u w:val="none"/>
              </w:rPr>
            </w:pPr>
            <w:r w:rsidRPr="00A17D06">
              <w:rPr>
                <w:bCs/>
                <w:i/>
                <w:sz w:val="20"/>
              </w:rPr>
              <w:t xml:space="preserve"> </w:t>
            </w:r>
            <w:r w:rsidR="00922A87" w:rsidRPr="00A17D06">
              <w:rPr>
                <w:sz w:val="20"/>
              </w:rPr>
              <w:t>(</w:t>
            </w:r>
            <w:hyperlink r:id="rId30" w:history="1">
              <w:r w:rsidR="00922A87" w:rsidRPr="00A17D06">
                <w:rPr>
                  <w:rStyle w:val="Hyperlink"/>
                  <w:bCs/>
                  <w:sz w:val="20"/>
                </w:rPr>
                <w:t>http://canadianbiosafetystandards.collaboration.gc.ca</w:t>
              </w:r>
            </w:hyperlink>
            <w:r w:rsidR="00922A87" w:rsidRPr="00A17D06">
              <w:rPr>
                <w:rStyle w:val="Hyperlink"/>
                <w:bCs/>
                <w:sz w:val="20"/>
                <w:u w:val="none"/>
              </w:rPr>
              <w:t>)</w:t>
            </w:r>
          </w:p>
          <w:p w:rsidR="008F05C5" w:rsidRPr="00A17D06" w:rsidRDefault="008F05C5" w:rsidP="00922A87">
            <w:pPr>
              <w:numPr>
                <w:ilvl w:val="0"/>
                <w:numId w:val="5"/>
              </w:numPr>
              <w:rPr>
                <w:rFonts w:cs="Arial"/>
                <w:sz w:val="20"/>
              </w:rPr>
            </w:pPr>
            <w:r w:rsidRPr="00A17D06">
              <w:rPr>
                <w:rFonts w:cs="Arial"/>
                <w:i/>
                <w:sz w:val="20"/>
              </w:rPr>
              <w:t>Containment Standards for Facilities Handling Plan Pests</w:t>
            </w:r>
            <w:r w:rsidRPr="00A17D06">
              <w:rPr>
                <w:rFonts w:cs="Arial"/>
                <w:sz w:val="20"/>
              </w:rPr>
              <w:t>, CFIA,</w:t>
            </w:r>
          </w:p>
          <w:p w:rsidR="008F05C5" w:rsidRPr="00A17D06" w:rsidRDefault="008F05C5" w:rsidP="008F05C5">
            <w:pPr>
              <w:rPr>
                <w:rFonts w:cs="Arial"/>
                <w:sz w:val="20"/>
              </w:rPr>
            </w:pPr>
            <w:r w:rsidRPr="00A17D06">
              <w:rPr>
                <w:rFonts w:cs="Arial"/>
                <w:sz w:val="20"/>
              </w:rPr>
              <w:t>(</w:t>
            </w:r>
            <w:hyperlink r:id="rId31" w:history="1">
              <w:r w:rsidRPr="00A17D06">
                <w:rPr>
                  <w:rStyle w:val="Hyperlink"/>
                  <w:rFonts w:eastAsiaTheme="majorEastAsia" w:cs="Arial"/>
                  <w:sz w:val="20"/>
                </w:rPr>
                <w:t>http://www.inspection.gc.ca/english/sci/bio/plaveg/placone.pdf</w:t>
              </w:r>
            </w:hyperlink>
            <w:r w:rsidRPr="00A17D06">
              <w:rPr>
                <w:rFonts w:cs="Arial"/>
                <w:sz w:val="20"/>
              </w:rPr>
              <w:t>).</w:t>
            </w:r>
          </w:p>
          <w:p w:rsidR="008F05C5" w:rsidRPr="00A17D06" w:rsidRDefault="008F05C5" w:rsidP="008F05C5">
            <w:pPr>
              <w:numPr>
                <w:ilvl w:val="0"/>
                <w:numId w:val="5"/>
              </w:numPr>
              <w:rPr>
                <w:rFonts w:cs="Arial"/>
                <w:sz w:val="20"/>
              </w:rPr>
            </w:pPr>
            <w:r w:rsidRPr="00A17D06">
              <w:rPr>
                <w:rFonts w:cs="Arial"/>
                <w:i/>
                <w:sz w:val="20"/>
              </w:rPr>
              <w:t>Containment Standards for Facilities Handling Aquatic Animal Pathogens</w:t>
            </w:r>
            <w:r w:rsidRPr="00A17D06">
              <w:rPr>
                <w:rFonts w:cs="Arial"/>
                <w:sz w:val="20"/>
              </w:rPr>
              <w:t>, CFIA,</w:t>
            </w:r>
          </w:p>
          <w:p w:rsidR="008F05C5" w:rsidRPr="00A17D06" w:rsidRDefault="008F05C5" w:rsidP="008F05C5">
            <w:pPr>
              <w:rPr>
                <w:rFonts w:cs="Arial"/>
                <w:sz w:val="20"/>
              </w:rPr>
            </w:pPr>
            <w:r w:rsidRPr="00A17D06">
              <w:rPr>
                <w:rFonts w:cs="Arial"/>
                <w:sz w:val="20"/>
              </w:rPr>
              <w:t>(</w:t>
            </w:r>
            <w:hyperlink r:id="rId32" w:history="1">
              <w:r w:rsidRPr="00A17D06">
                <w:rPr>
                  <w:rStyle w:val="Hyperlink"/>
                  <w:rFonts w:eastAsiaTheme="majorEastAsia" w:cs="Arial"/>
                  <w:sz w:val="20"/>
                </w:rPr>
                <w:t>http://www.inspection.gc.ca/english/sci/bio/anima/aqu/csfncie.pdf</w:t>
              </w:r>
            </w:hyperlink>
            <w:r w:rsidRPr="00A17D06">
              <w:rPr>
                <w:rFonts w:cs="Arial"/>
                <w:sz w:val="20"/>
              </w:rPr>
              <w:t>).</w:t>
            </w:r>
          </w:p>
          <w:p w:rsidR="008F05C5" w:rsidRPr="00A17D06" w:rsidRDefault="008F05C5" w:rsidP="008F05C5">
            <w:pPr>
              <w:numPr>
                <w:ilvl w:val="0"/>
                <w:numId w:val="4"/>
              </w:numPr>
              <w:rPr>
                <w:rFonts w:cs="Arial"/>
                <w:sz w:val="20"/>
              </w:rPr>
            </w:pPr>
            <w:r w:rsidRPr="00A17D06">
              <w:rPr>
                <w:rFonts w:cs="Arial"/>
                <w:i/>
                <w:sz w:val="20"/>
              </w:rPr>
              <w:t>Laboratory Biosafety Manual</w:t>
            </w:r>
            <w:r w:rsidRPr="00A17D06">
              <w:rPr>
                <w:rFonts w:cs="Arial"/>
                <w:sz w:val="20"/>
              </w:rPr>
              <w:t>, World Health Organization,</w:t>
            </w:r>
          </w:p>
          <w:p w:rsidR="008F05C5" w:rsidRPr="00A17D06" w:rsidRDefault="008F05C5" w:rsidP="008F05C5">
            <w:pPr>
              <w:rPr>
                <w:rFonts w:cs="Arial"/>
                <w:sz w:val="20"/>
              </w:rPr>
            </w:pPr>
            <w:r w:rsidRPr="00A17D06">
              <w:rPr>
                <w:rFonts w:cs="Arial"/>
                <w:sz w:val="20"/>
              </w:rPr>
              <w:t>(</w:t>
            </w:r>
            <w:hyperlink r:id="rId33" w:history="1">
              <w:r w:rsidRPr="00A17D06">
                <w:rPr>
                  <w:rStyle w:val="Hyperlink"/>
                  <w:rFonts w:cs="Arial"/>
                  <w:sz w:val="20"/>
                </w:rPr>
                <w:t>http://www.who.int/csr/resources/publications/biosafety/WHO_CDS_CSR_LYO_2004_11/en/</w:t>
              </w:r>
            </w:hyperlink>
            <w:r w:rsidRPr="00A17D06">
              <w:rPr>
                <w:rFonts w:cs="Arial"/>
                <w:sz w:val="20"/>
              </w:rPr>
              <w:t>).</w:t>
            </w:r>
          </w:p>
          <w:p w:rsidR="008F05C5" w:rsidRPr="00A17D06" w:rsidRDefault="008F05C5" w:rsidP="008F05C5">
            <w:pPr>
              <w:numPr>
                <w:ilvl w:val="0"/>
                <w:numId w:val="4"/>
              </w:numPr>
              <w:rPr>
                <w:rFonts w:cs="Arial"/>
                <w:b/>
                <w:sz w:val="20"/>
              </w:rPr>
            </w:pPr>
            <w:r w:rsidRPr="00A17D06">
              <w:rPr>
                <w:rFonts w:cs="Arial"/>
                <w:i/>
                <w:sz w:val="20"/>
              </w:rPr>
              <w:t>Biosafety in Microbiological and Biomedical Laboratories</w:t>
            </w:r>
            <w:r w:rsidRPr="00A17D06">
              <w:rPr>
                <w:rFonts w:cs="Arial"/>
                <w:sz w:val="20"/>
              </w:rPr>
              <w:t>, Centers for Disease Control, National Institutes of Health,</w:t>
            </w:r>
          </w:p>
          <w:p w:rsidR="008F05C5" w:rsidRPr="00A17D06" w:rsidRDefault="008F05C5" w:rsidP="008F05C5">
            <w:pPr>
              <w:rPr>
                <w:rFonts w:cs="Arial"/>
                <w:sz w:val="20"/>
              </w:rPr>
            </w:pPr>
            <w:r w:rsidRPr="00A17D06">
              <w:rPr>
                <w:rFonts w:cs="Arial"/>
                <w:sz w:val="20"/>
              </w:rPr>
              <w:t>(</w:t>
            </w:r>
            <w:hyperlink r:id="rId34" w:history="1">
              <w:r w:rsidRPr="00A17D06">
                <w:rPr>
                  <w:rStyle w:val="Hyperlink"/>
                  <w:rFonts w:eastAsiaTheme="majorEastAsia" w:cs="Arial"/>
                  <w:sz w:val="20"/>
                </w:rPr>
                <w:t>http://www.cdc.gov/biosafety/publications/bmbl5/BMBL.pdf</w:t>
              </w:r>
            </w:hyperlink>
            <w:r w:rsidRPr="00A17D06">
              <w:rPr>
                <w:rFonts w:cs="Arial"/>
                <w:sz w:val="20"/>
              </w:rPr>
              <w:t>).</w:t>
            </w:r>
          </w:p>
          <w:p w:rsidR="008F05C5" w:rsidRPr="001044C4" w:rsidRDefault="008F05C5" w:rsidP="008F05C5">
            <w:pPr>
              <w:rPr>
                <w:rFonts w:cs="Arial"/>
                <w:b/>
                <w:szCs w:val="22"/>
              </w:rPr>
            </w:pPr>
          </w:p>
        </w:tc>
      </w:tr>
    </w:tbl>
    <w:p w:rsidR="008F05C5" w:rsidRPr="008F05C5" w:rsidRDefault="008F05C5" w:rsidP="008F05C5">
      <w:pPr>
        <w:rPr>
          <w:rFonts w:cs="Arial"/>
          <w:sz w:val="18"/>
          <w:szCs w:val="18"/>
        </w:rPr>
      </w:pPr>
    </w:p>
    <w:p w:rsidR="008F05C5" w:rsidRPr="008F05C5" w:rsidRDefault="008F05C5" w:rsidP="008F05C5">
      <w:pPr>
        <w:rPr>
          <w:rFonts w:cs="Arial"/>
          <w:sz w:val="18"/>
          <w:szCs w:val="18"/>
        </w:rPr>
      </w:pPr>
      <w:r w:rsidRPr="008F05C5">
        <w:rPr>
          <w:rFonts w:cs="Arial"/>
          <w:i/>
          <w:sz w:val="18"/>
          <w:szCs w:val="18"/>
        </w:rPr>
        <w:t>ENTER TEXT HERE….</w:t>
      </w:r>
    </w:p>
    <w:p w:rsidR="00D578E6" w:rsidRDefault="00D578E6" w:rsidP="008F05C5">
      <w:pPr>
        <w:rPr>
          <w:rFonts w:cs="Arial"/>
          <w:sz w:val="18"/>
          <w:szCs w:val="18"/>
        </w:rPr>
      </w:pPr>
    </w:p>
    <w:p w:rsidR="00D578E6" w:rsidRDefault="00D578E6" w:rsidP="008F05C5">
      <w:pPr>
        <w:rPr>
          <w:rFonts w:cs="Arial"/>
          <w:sz w:val="18"/>
          <w:szCs w:val="18"/>
        </w:rPr>
      </w:pPr>
    </w:p>
    <w:p w:rsidR="00D578E6" w:rsidRDefault="00D578E6" w:rsidP="008F05C5">
      <w:pPr>
        <w:rPr>
          <w:rFonts w:cs="Arial"/>
          <w:sz w:val="18"/>
          <w:szCs w:val="18"/>
        </w:rPr>
      </w:pPr>
    </w:p>
    <w:p w:rsidR="00D578E6" w:rsidRDefault="00D578E6" w:rsidP="00D578E6">
      <w:pPr>
        <w:pStyle w:val="Heading1"/>
      </w:pPr>
    </w:p>
    <w:p w:rsidR="00D578E6" w:rsidRDefault="00D578E6" w:rsidP="00D578E6"/>
    <w:p w:rsidR="00D578E6" w:rsidRDefault="00D578E6" w:rsidP="00D578E6"/>
    <w:p w:rsidR="00D578E6" w:rsidRDefault="00D578E6" w:rsidP="00D578E6"/>
    <w:p w:rsidR="00D578E6" w:rsidRPr="00D578E6" w:rsidRDefault="00D578E6" w:rsidP="00D578E6"/>
    <w:p w:rsidR="00D578E6" w:rsidRDefault="00D578E6" w:rsidP="00D578E6">
      <w:pPr>
        <w:pStyle w:val="Heading1"/>
        <w:numPr>
          <w:ilvl w:val="0"/>
          <w:numId w:val="24"/>
        </w:numPr>
      </w:pPr>
      <w:bookmarkStart w:id="16" w:name="_Toc516500699"/>
      <w:bookmarkStart w:id="17" w:name="_Toc516573339"/>
      <w:r w:rsidRPr="00D578E6">
        <w:lastRenderedPageBreak/>
        <w:t>Potential for Dual Use Research</w:t>
      </w:r>
      <w:bookmarkEnd w:id="16"/>
      <w:bookmarkEnd w:id="17"/>
      <w:r w:rsidRPr="00D578E6">
        <w:t xml:space="preserve"> </w:t>
      </w:r>
    </w:p>
    <w:p w:rsidR="00D578E6" w:rsidRPr="00D578E6" w:rsidRDefault="00D578E6" w:rsidP="00D578E6"/>
    <w:tbl>
      <w:tblPr>
        <w:tblStyle w:val="TableGrid"/>
        <w:tblW w:w="0" w:type="auto"/>
        <w:shd w:val="pct10" w:color="auto" w:fill="auto"/>
        <w:tblLook w:val="04A0" w:firstRow="1" w:lastRow="0" w:firstColumn="1" w:lastColumn="0" w:noHBand="0" w:noVBand="1"/>
      </w:tblPr>
      <w:tblGrid>
        <w:gridCol w:w="9350"/>
      </w:tblGrid>
      <w:tr w:rsidR="00D578E6" w:rsidRPr="008F05C5" w:rsidTr="008E4710">
        <w:tc>
          <w:tcPr>
            <w:tcW w:w="9350" w:type="dxa"/>
            <w:shd w:val="clear" w:color="auto" w:fill="DFEBF5" w:themeFill="accent2" w:themeFillTint="33"/>
          </w:tcPr>
          <w:p w:rsidR="00D578E6" w:rsidRPr="00A17D06" w:rsidRDefault="00D578E6" w:rsidP="008E4710">
            <w:pPr>
              <w:rPr>
                <w:rFonts w:cs="Arial"/>
                <w:sz w:val="20"/>
              </w:rPr>
            </w:pPr>
          </w:p>
          <w:p w:rsidR="00D578E6" w:rsidRPr="00CB6EA5" w:rsidRDefault="00D578E6" w:rsidP="008E4710">
            <w:pPr>
              <w:pStyle w:val="ListParagraph"/>
              <w:numPr>
                <w:ilvl w:val="0"/>
                <w:numId w:val="36"/>
              </w:numPr>
              <w:rPr>
                <w:rFonts w:cs="Arial"/>
                <w:sz w:val="20"/>
              </w:rPr>
            </w:pPr>
            <w:r w:rsidRPr="00CB6EA5">
              <w:rPr>
                <w:rFonts w:cs="Arial"/>
                <w:sz w:val="20"/>
              </w:rPr>
              <w:t>A key component to the hazard assessment is the identification of dual-use potential which all researchers are required to complete.</w:t>
            </w:r>
          </w:p>
          <w:p w:rsidR="00D578E6" w:rsidRDefault="00D578E6" w:rsidP="008E4710">
            <w:pPr>
              <w:pStyle w:val="ListParagraph"/>
              <w:numPr>
                <w:ilvl w:val="0"/>
                <w:numId w:val="36"/>
              </w:numPr>
              <w:rPr>
                <w:rFonts w:cs="Arial"/>
                <w:sz w:val="20"/>
              </w:rPr>
            </w:pPr>
            <w:r w:rsidRPr="00A17D06">
              <w:rPr>
                <w:rFonts w:cs="Arial"/>
                <w:sz w:val="20"/>
              </w:rPr>
              <w:t>Dual use potential is commonplace in life sciences research because reagents, experimental approaches and derived knowledge often have the potential to be misused and misapplied to obtain nefarious outcomes.</w:t>
            </w:r>
          </w:p>
          <w:p w:rsidR="00D578E6" w:rsidRDefault="00D578E6" w:rsidP="008E4710">
            <w:pPr>
              <w:pStyle w:val="ListParagraph"/>
              <w:numPr>
                <w:ilvl w:val="0"/>
                <w:numId w:val="36"/>
              </w:numPr>
              <w:rPr>
                <w:rFonts w:cs="Arial"/>
                <w:sz w:val="20"/>
              </w:rPr>
            </w:pPr>
            <w:r w:rsidRPr="00816537">
              <w:rPr>
                <w:rFonts w:cs="Arial"/>
                <w:sz w:val="20"/>
              </w:rPr>
              <w:t>A dual-use risk assessment, if done appropriately, should contribute to effective biosecurity oversight.</w:t>
            </w:r>
          </w:p>
          <w:p w:rsidR="00D578E6" w:rsidRPr="00D578E6" w:rsidRDefault="00D578E6" w:rsidP="008E4710">
            <w:pPr>
              <w:rPr>
                <w:rFonts w:cs="Arial"/>
                <w:b/>
                <w:sz w:val="20"/>
              </w:rPr>
            </w:pPr>
            <w:r w:rsidRPr="00D578E6">
              <w:rPr>
                <w:rFonts w:cs="Arial"/>
                <w:b/>
                <w:sz w:val="20"/>
              </w:rPr>
              <w:t>Instructions:</w:t>
            </w:r>
          </w:p>
          <w:p w:rsidR="00D578E6" w:rsidRDefault="00D578E6" w:rsidP="008E4710">
            <w:pPr>
              <w:pStyle w:val="ListParagraph"/>
              <w:numPr>
                <w:ilvl w:val="0"/>
                <w:numId w:val="36"/>
              </w:numPr>
              <w:rPr>
                <w:rFonts w:cs="Arial"/>
                <w:sz w:val="20"/>
              </w:rPr>
            </w:pPr>
            <w:r w:rsidRPr="00A17D06">
              <w:rPr>
                <w:rFonts w:cs="Arial"/>
                <w:sz w:val="20"/>
              </w:rPr>
              <w:t xml:space="preserve">Faculty/Researchers will </w:t>
            </w:r>
            <w:r>
              <w:rPr>
                <w:rFonts w:cs="Arial"/>
                <w:sz w:val="20"/>
              </w:rPr>
              <w:t xml:space="preserve">use the </w:t>
            </w:r>
            <w:r w:rsidRPr="00A17D06">
              <w:rPr>
                <w:rFonts w:cs="Arial"/>
                <w:sz w:val="20"/>
              </w:rPr>
              <w:t xml:space="preserve">Public Health Agency of Canada flow </w:t>
            </w:r>
            <w:r>
              <w:rPr>
                <w:rFonts w:cs="Arial"/>
                <w:sz w:val="20"/>
              </w:rPr>
              <w:t>chart</w:t>
            </w:r>
            <w:r w:rsidR="00565D2E">
              <w:rPr>
                <w:rFonts w:cs="Arial"/>
                <w:sz w:val="20"/>
              </w:rPr>
              <w:t xml:space="preserve"> below</w:t>
            </w:r>
            <w:r>
              <w:rPr>
                <w:rFonts w:cs="Arial"/>
                <w:sz w:val="20"/>
              </w:rPr>
              <w:t xml:space="preserve"> </w:t>
            </w:r>
            <w:r w:rsidRPr="00A17D06">
              <w:rPr>
                <w:rFonts w:cs="Arial"/>
                <w:sz w:val="20"/>
              </w:rPr>
              <w:t>to assist with proper identification of dual-use.</w:t>
            </w:r>
          </w:p>
          <w:p w:rsidR="00D578E6" w:rsidRDefault="00D578E6" w:rsidP="008E4710">
            <w:pPr>
              <w:pStyle w:val="ListParagraph"/>
              <w:numPr>
                <w:ilvl w:val="0"/>
                <w:numId w:val="36"/>
              </w:numPr>
              <w:rPr>
                <w:rFonts w:cs="Arial"/>
                <w:sz w:val="20"/>
              </w:rPr>
            </w:pPr>
            <w:r w:rsidRPr="00CB6EA5">
              <w:rPr>
                <w:rFonts w:cs="Arial"/>
                <w:sz w:val="20"/>
              </w:rPr>
              <w:t>When research with dual-use potential is identified, it is important to assess the risk associated with the research. The general concepts of a risk assessment take into consideration the hazards identified, the likelihood that the hazard will occur, and the magnitude of the foreseeable consequences. A proper risk assessment should guide the selection of appropriate mitigation strategies to protect the research materials, tools, and information against potential theft, misuse, diversion, or intentional release.</w:t>
            </w:r>
          </w:p>
          <w:p w:rsidR="005F4865" w:rsidRPr="007D0ACE" w:rsidRDefault="00D578E6" w:rsidP="007D0ACE">
            <w:pPr>
              <w:pStyle w:val="ListParagraph"/>
              <w:numPr>
                <w:ilvl w:val="0"/>
                <w:numId w:val="36"/>
              </w:numPr>
              <w:rPr>
                <w:rFonts w:cs="Arial"/>
                <w:sz w:val="20"/>
              </w:rPr>
            </w:pPr>
            <w:r w:rsidRPr="00A17D06">
              <w:rPr>
                <w:rFonts w:cs="Arial"/>
                <w:sz w:val="20"/>
              </w:rPr>
              <w:t xml:space="preserve">When researchers apply for amendments or renew biosafety permits, they will be required to revisit the chart and indicate if the RG2 material or procedures would pose a </w:t>
            </w:r>
            <w:r>
              <w:rPr>
                <w:rFonts w:cs="Arial"/>
                <w:sz w:val="20"/>
              </w:rPr>
              <w:t xml:space="preserve">potential </w:t>
            </w:r>
            <w:r w:rsidRPr="00A17D06">
              <w:rPr>
                <w:rFonts w:cs="Arial"/>
                <w:sz w:val="20"/>
              </w:rPr>
              <w:t>dual use. This will complement the hazard identification process which is expected to occur when a new material is acquired or a new teaching or research program is initiated.</w:t>
            </w:r>
          </w:p>
          <w:p w:rsidR="00D578E6" w:rsidRPr="00A17D06" w:rsidRDefault="00D578E6" w:rsidP="008E4710">
            <w:pPr>
              <w:rPr>
                <w:rFonts w:cs="Arial"/>
                <w:b/>
                <w:szCs w:val="22"/>
              </w:rPr>
            </w:pPr>
          </w:p>
        </w:tc>
      </w:tr>
    </w:tbl>
    <w:p w:rsidR="00042AFE" w:rsidRPr="007D0ACE" w:rsidRDefault="007D0ACE" w:rsidP="007D0ACE">
      <w:pPr>
        <w:pStyle w:val="Heading1"/>
        <w:rPr>
          <w:rFonts w:ascii="Arial" w:hAnsi="Arial" w:cs="Arial"/>
          <w:i/>
          <w:sz w:val="18"/>
          <w:szCs w:val="18"/>
        </w:rPr>
      </w:pPr>
      <w:r w:rsidRPr="007D0ACE">
        <w:rPr>
          <w:rFonts w:ascii="Arial" w:hAnsi="Arial" w:cs="Arial"/>
          <w:i/>
          <w:sz w:val="18"/>
          <w:szCs w:val="18"/>
        </w:rPr>
        <w:lastRenderedPageBreak/>
        <w:drawing>
          <wp:anchor distT="0" distB="0" distL="114300" distR="114300" simplePos="0" relativeHeight="251664896" behindDoc="0" locked="0" layoutInCell="1" allowOverlap="1">
            <wp:simplePos x="0" y="0"/>
            <wp:positionH relativeFrom="column">
              <wp:posOffset>-914400</wp:posOffset>
            </wp:positionH>
            <wp:positionV relativeFrom="paragraph">
              <wp:posOffset>0</wp:posOffset>
            </wp:positionV>
            <wp:extent cx="7139305" cy="580390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39305" cy="5803900"/>
                    </a:xfrm>
                    <a:prstGeom prst="rect">
                      <a:avLst/>
                    </a:prstGeom>
                    <a:noFill/>
                  </pic:spPr>
                </pic:pic>
              </a:graphicData>
            </a:graphic>
          </wp:anchor>
        </w:drawing>
      </w:r>
      <w:r w:rsidRPr="007D0ACE">
        <w:rPr>
          <w:rFonts w:ascii="Arial" w:hAnsi="Arial" w:cs="Arial"/>
          <w:i/>
          <w:sz w:val="18"/>
          <w:szCs w:val="18"/>
        </w:rPr>
        <w:t>ENTER TEXT HERE….</w:t>
      </w:r>
    </w:p>
    <w:p w:rsidR="00042AFE" w:rsidRDefault="00042AFE" w:rsidP="00EF2005">
      <w:pPr>
        <w:pStyle w:val="Heading1"/>
      </w:pPr>
    </w:p>
    <w:p w:rsidR="00042AFE" w:rsidRDefault="00042AFE" w:rsidP="00EF2005">
      <w:pPr>
        <w:pStyle w:val="Heading1"/>
      </w:pPr>
      <w:bookmarkStart w:id="18" w:name="_GoBack"/>
      <w:bookmarkEnd w:id="18"/>
    </w:p>
    <w:p w:rsidR="005F4865" w:rsidRPr="005F4865" w:rsidRDefault="008F05C5" w:rsidP="00EF2005">
      <w:pPr>
        <w:pStyle w:val="Heading1"/>
      </w:pPr>
      <w:r w:rsidRPr="008F05C5">
        <w:br w:type="page"/>
      </w:r>
    </w:p>
    <w:p w:rsidR="008F05C5" w:rsidRPr="008D09EC" w:rsidRDefault="008F05C5" w:rsidP="008D09EC">
      <w:pPr>
        <w:pStyle w:val="Heading1"/>
        <w:numPr>
          <w:ilvl w:val="0"/>
          <w:numId w:val="24"/>
        </w:numPr>
      </w:pPr>
      <w:bookmarkStart w:id="19" w:name="_Toc316632000"/>
      <w:bookmarkStart w:id="20" w:name="_Toc516500701"/>
      <w:bookmarkStart w:id="21" w:name="_Toc516573341"/>
      <w:r w:rsidRPr="008D09EC">
        <w:lastRenderedPageBreak/>
        <w:t>Biosecurity</w:t>
      </w:r>
      <w:bookmarkEnd w:id="19"/>
      <w:bookmarkEnd w:id="20"/>
      <w:bookmarkEnd w:id="21"/>
    </w:p>
    <w:p w:rsidR="008F05C5" w:rsidRPr="008F05C5" w:rsidRDefault="008F05C5" w:rsidP="008F05C5">
      <w:pPr>
        <w:rPr>
          <w:rFonts w:cs="Arial"/>
          <w:sz w:val="18"/>
          <w:szCs w:val="18"/>
        </w:rPr>
      </w:pPr>
    </w:p>
    <w:tbl>
      <w:tblPr>
        <w:tblStyle w:val="TableGrid"/>
        <w:tblW w:w="0" w:type="auto"/>
        <w:shd w:val="pct10" w:color="auto" w:fill="auto"/>
        <w:tblLook w:val="04A0" w:firstRow="1" w:lastRow="0" w:firstColumn="1" w:lastColumn="0" w:noHBand="0" w:noVBand="1"/>
      </w:tblPr>
      <w:tblGrid>
        <w:gridCol w:w="9350"/>
      </w:tblGrid>
      <w:tr w:rsidR="008F05C5" w:rsidRPr="008F05C5" w:rsidTr="007D0ACE">
        <w:trPr>
          <w:trHeight w:val="10546"/>
        </w:trPr>
        <w:tc>
          <w:tcPr>
            <w:tcW w:w="9576" w:type="dxa"/>
            <w:shd w:val="clear" w:color="auto" w:fill="DFEBF5" w:themeFill="accent2" w:themeFillTint="33"/>
          </w:tcPr>
          <w:p w:rsidR="008F05C5" w:rsidRPr="00A17D06" w:rsidRDefault="008F05C5" w:rsidP="008F05C5">
            <w:pPr>
              <w:rPr>
                <w:rFonts w:cs="Arial"/>
                <w:b/>
                <w:sz w:val="20"/>
              </w:rPr>
            </w:pPr>
            <w:r w:rsidRPr="00A17D06">
              <w:rPr>
                <w:rFonts w:cs="Arial"/>
                <w:b/>
                <w:sz w:val="20"/>
              </w:rPr>
              <w:t xml:space="preserve">Instructions: </w:t>
            </w:r>
          </w:p>
          <w:p w:rsidR="008F05C5" w:rsidRPr="00A17D06" w:rsidRDefault="008F05C5" w:rsidP="008F05C5">
            <w:pPr>
              <w:rPr>
                <w:rFonts w:cs="Arial"/>
                <w:b/>
                <w:sz w:val="20"/>
              </w:rPr>
            </w:pPr>
          </w:p>
          <w:p w:rsidR="008F05C5" w:rsidRPr="00A17D06" w:rsidRDefault="008F05C5" w:rsidP="008F05C5">
            <w:pPr>
              <w:rPr>
                <w:rFonts w:cs="Arial"/>
                <w:b/>
                <w:sz w:val="20"/>
              </w:rPr>
            </w:pPr>
            <w:r w:rsidRPr="00A17D06">
              <w:rPr>
                <w:rFonts w:cs="Arial"/>
                <w:sz w:val="20"/>
              </w:rPr>
              <w:t>The permit holder shall implement and maintain biosecurity measures commensurate with the identified risk group and containment level of the biohazardous materials under the biosafety permit and legislative requirements. This includes, but is not limited to:</w:t>
            </w:r>
          </w:p>
          <w:p w:rsidR="008F05C5" w:rsidRPr="00A17D06" w:rsidRDefault="008F05C5" w:rsidP="008F05C5">
            <w:pPr>
              <w:rPr>
                <w:rFonts w:cs="Arial"/>
                <w:sz w:val="20"/>
              </w:rPr>
            </w:pPr>
          </w:p>
          <w:p w:rsidR="008F05C5" w:rsidRPr="00A17D06" w:rsidRDefault="008F05C5" w:rsidP="008F05C5">
            <w:pPr>
              <w:numPr>
                <w:ilvl w:val="0"/>
                <w:numId w:val="10"/>
              </w:numPr>
              <w:rPr>
                <w:rFonts w:cs="Arial"/>
                <w:sz w:val="20"/>
              </w:rPr>
            </w:pPr>
            <w:r w:rsidRPr="00A17D06">
              <w:rPr>
                <w:rFonts w:cs="Arial"/>
                <w:sz w:val="20"/>
              </w:rPr>
              <w:t>Physical protection of the permitted facility to minimize unauthorized access to facilities, laboratories and storage areas;</w:t>
            </w:r>
          </w:p>
          <w:p w:rsidR="008F05C5" w:rsidRPr="00A17D06" w:rsidRDefault="008F05C5" w:rsidP="008F05C5">
            <w:pPr>
              <w:numPr>
                <w:ilvl w:val="0"/>
                <w:numId w:val="10"/>
              </w:numPr>
              <w:rPr>
                <w:rFonts w:cs="Arial"/>
                <w:sz w:val="20"/>
              </w:rPr>
            </w:pPr>
            <w:r w:rsidRPr="00A17D06">
              <w:rPr>
                <w:rFonts w:cs="Arial"/>
                <w:sz w:val="20"/>
              </w:rPr>
              <w:t>Personnel authorization and clearance of authorized workers to work in the facility; and</w:t>
            </w:r>
          </w:p>
          <w:p w:rsidR="008F05C5" w:rsidRPr="00A17D06" w:rsidRDefault="008F05C5" w:rsidP="008F05C5">
            <w:pPr>
              <w:numPr>
                <w:ilvl w:val="0"/>
                <w:numId w:val="10"/>
              </w:numPr>
              <w:rPr>
                <w:rFonts w:cs="Arial"/>
                <w:sz w:val="20"/>
              </w:rPr>
            </w:pPr>
            <w:r w:rsidRPr="00A17D06">
              <w:rPr>
                <w:rFonts w:cs="Arial"/>
                <w:sz w:val="20"/>
              </w:rPr>
              <w:t>Inventory management of organisms, biological materials, and biohazardous materials used and stored under the biosafety permit.</w:t>
            </w:r>
          </w:p>
          <w:p w:rsidR="008F05C5" w:rsidRPr="00A17D06" w:rsidRDefault="008F05C5" w:rsidP="008F05C5">
            <w:pPr>
              <w:rPr>
                <w:rFonts w:cs="Arial"/>
                <w:sz w:val="20"/>
              </w:rPr>
            </w:pPr>
          </w:p>
          <w:p w:rsidR="008F05C5" w:rsidRPr="00A17D06" w:rsidRDefault="008F05C5" w:rsidP="008F05C5">
            <w:pPr>
              <w:rPr>
                <w:rFonts w:cs="Arial"/>
                <w:sz w:val="20"/>
              </w:rPr>
            </w:pPr>
            <w:r w:rsidRPr="00A17D06">
              <w:rPr>
                <w:rFonts w:cs="Arial"/>
                <w:sz w:val="20"/>
              </w:rPr>
              <w:t xml:space="preserve">Incident reporting, response, and investigation into suspected criminal activity including the loss or suspected theft of organisms, biological materials, or biohazardous materials is addressed under Section </w:t>
            </w:r>
            <w:r w:rsidR="00211411">
              <w:rPr>
                <w:rFonts w:cs="Arial"/>
                <w:sz w:val="20"/>
              </w:rPr>
              <w:t>10</w:t>
            </w:r>
            <w:r w:rsidRPr="00A17D06">
              <w:rPr>
                <w:rFonts w:cs="Arial"/>
                <w:sz w:val="20"/>
              </w:rPr>
              <w:t>, Emergency Response.</w:t>
            </w:r>
          </w:p>
          <w:p w:rsidR="008F05C5" w:rsidRPr="00A17D06" w:rsidRDefault="008F05C5" w:rsidP="008F05C5">
            <w:pPr>
              <w:rPr>
                <w:rFonts w:cs="Arial"/>
                <w:sz w:val="20"/>
              </w:rPr>
            </w:pPr>
          </w:p>
          <w:p w:rsidR="008F05C5" w:rsidRPr="00A17D06" w:rsidRDefault="008F05C5" w:rsidP="008F05C5">
            <w:pPr>
              <w:rPr>
                <w:rFonts w:cs="Arial"/>
                <w:sz w:val="20"/>
              </w:rPr>
            </w:pPr>
            <w:r w:rsidRPr="00A17D06">
              <w:rPr>
                <w:rFonts w:cs="Arial"/>
                <w:sz w:val="20"/>
              </w:rPr>
              <w:t>In the section, provide a description of the biosecurity measures for the facility being permitted. The minimum requirements for biosecurity for risk group 1 and 2 are:</w:t>
            </w:r>
          </w:p>
          <w:p w:rsidR="008F05C5" w:rsidRPr="00A17D06" w:rsidRDefault="008F05C5" w:rsidP="008F05C5">
            <w:pPr>
              <w:rPr>
                <w:rFonts w:cs="Arial"/>
                <w:sz w:val="20"/>
              </w:rPr>
            </w:pPr>
          </w:p>
          <w:p w:rsidR="008F05C5" w:rsidRPr="00A17D06" w:rsidRDefault="008F05C5" w:rsidP="008F05C5">
            <w:pPr>
              <w:numPr>
                <w:ilvl w:val="0"/>
                <w:numId w:val="11"/>
              </w:numPr>
              <w:rPr>
                <w:rFonts w:cs="Arial"/>
                <w:sz w:val="20"/>
              </w:rPr>
            </w:pPr>
            <w:r w:rsidRPr="00A17D06">
              <w:rPr>
                <w:rFonts w:cs="Arial"/>
                <w:sz w:val="20"/>
              </w:rPr>
              <w:t>Controlled access to the facility. Doors to facilities should be kept closed at all times. Access doors to the facility should be lockable.</w:t>
            </w:r>
          </w:p>
          <w:p w:rsidR="008F05C5" w:rsidRPr="00A17D06" w:rsidRDefault="008F05C5" w:rsidP="008F05C5">
            <w:pPr>
              <w:numPr>
                <w:ilvl w:val="0"/>
                <w:numId w:val="11"/>
              </w:numPr>
              <w:rPr>
                <w:rFonts w:cs="Arial"/>
                <w:sz w:val="20"/>
              </w:rPr>
            </w:pPr>
            <w:r w:rsidRPr="00A17D06">
              <w:rPr>
                <w:rFonts w:cs="Arial"/>
                <w:sz w:val="20"/>
              </w:rPr>
              <w:t>Access to the facility should be limited to authorized workers. Visitors must be accompanied by an authorized worker.</w:t>
            </w:r>
          </w:p>
          <w:p w:rsidR="008F05C5" w:rsidRPr="00A17D06" w:rsidRDefault="008F05C5" w:rsidP="008F05C5">
            <w:pPr>
              <w:numPr>
                <w:ilvl w:val="0"/>
                <w:numId w:val="10"/>
              </w:numPr>
              <w:rPr>
                <w:rFonts w:cs="Arial"/>
                <w:sz w:val="20"/>
              </w:rPr>
            </w:pPr>
            <w:r w:rsidRPr="00A17D06">
              <w:rPr>
                <w:rFonts w:cs="Arial"/>
                <w:sz w:val="20"/>
              </w:rPr>
              <w:t>An up-to-date inventory of organisms, biological materials, and biohazardous materials used and stored under the biosafety permit.</w:t>
            </w:r>
          </w:p>
          <w:p w:rsidR="008F05C5" w:rsidRPr="00A17D06" w:rsidRDefault="008F05C5" w:rsidP="008F05C5">
            <w:pPr>
              <w:rPr>
                <w:rFonts w:cs="Arial"/>
                <w:sz w:val="20"/>
              </w:rPr>
            </w:pPr>
          </w:p>
          <w:p w:rsidR="008F05C5" w:rsidRPr="00A17D06" w:rsidRDefault="008F05C5" w:rsidP="008F05C5">
            <w:pPr>
              <w:rPr>
                <w:rFonts w:cs="Arial"/>
                <w:b/>
                <w:sz w:val="20"/>
                <w:u w:val="single"/>
              </w:rPr>
            </w:pPr>
            <w:r w:rsidRPr="00A17D06">
              <w:rPr>
                <w:rFonts w:cs="Arial"/>
                <w:b/>
                <w:sz w:val="20"/>
                <w:u w:val="single"/>
              </w:rPr>
              <w:t>Resources</w:t>
            </w:r>
          </w:p>
          <w:p w:rsidR="008F05C5" w:rsidRPr="00A17D06" w:rsidRDefault="008F05C5" w:rsidP="008F05C5">
            <w:pPr>
              <w:rPr>
                <w:rFonts w:cs="Arial"/>
                <w:sz w:val="20"/>
              </w:rPr>
            </w:pPr>
          </w:p>
          <w:p w:rsidR="008F05C5" w:rsidRPr="00A17D06" w:rsidRDefault="008F05C5" w:rsidP="008F05C5">
            <w:pPr>
              <w:rPr>
                <w:rFonts w:cs="Arial"/>
                <w:sz w:val="20"/>
              </w:rPr>
            </w:pPr>
            <w:r w:rsidRPr="00A17D06">
              <w:rPr>
                <w:rFonts w:cs="Arial"/>
                <w:sz w:val="20"/>
              </w:rPr>
              <w:t>Following are resources that provide information on biosecurity.</w:t>
            </w:r>
          </w:p>
          <w:p w:rsidR="008F05C5" w:rsidRPr="00A17D06" w:rsidRDefault="008F05C5" w:rsidP="008F05C5">
            <w:pPr>
              <w:rPr>
                <w:rFonts w:cs="Arial"/>
                <w:sz w:val="20"/>
              </w:rPr>
            </w:pPr>
          </w:p>
          <w:p w:rsidR="00BE76DE" w:rsidRPr="00A17D06" w:rsidRDefault="00BE76DE" w:rsidP="00BE76DE">
            <w:pPr>
              <w:numPr>
                <w:ilvl w:val="0"/>
                <w:numId w:val="4"/>
              </w:numPr>
              <w:rPr>
                <w:bCs/>
                <w:i/>
                <w:sz w:val="20"/>
                <w:lang w:val="en-CA"/>
              </w:rPr>
            </w:pPr>
            <w:r w:rsidRPr="00A17D06">
              <w:rPr>
                <w:bCs/>
                <w:i/>
                <w:sz w:val="20"/>
                <w:lang w:val="en-CA"/>
              </w:rPr>
              <w:t>Canadian Biosafety Standard (CBS), 2nd Edition, 2015</w:t>
            </w:r>
          </w:p>
          <w:p w:rsidR="004979E4" w:rsidRPr="00A17D06" w:rsidRDefault="00BE76DE" w:rsidP="00BE76DE">
            <w:pPr>
              <w:rPr>
                <w:rStyle w:val="Hyperlink"/>
                <w:rFonts w:cs="Arial"/>
                <w:color w:val="auto"/>
                <w:sz w:val="20"/>
                <w:u w:val="none"/>
              </w:rPr>
            </w:pPr>
            <w:r w:rsidRPr="00A17D06">
              <w:rPr>
                <w:bCs/>
                <w:i/>
                <w:sz w:val="20"/>
              </w:rPr>
              <w:t xml:space="preserve"> </w:t>
            </w:r>
            <w:r w:rsidR="004979E4" w:rsidRPr="00A17D06">
              <w:rPr>
                <w:sz w:val="20"/>
              </w:rPr>
              <w:t>(</w:t>
            </w:r>
            <w:hyperlink r:id="rId36" w:history="1">
              <w:r w:rsidR="004979E4" w:rsidRPr="00A17D06">
                <w:rPr>
                  <w:rStyle w:val="Hyperlink"/>
                  <w:bCs/>
                  <w:sz w:val="20"/>
                </w:rPr>
                <w:t>http://canadianbiosafetystandards.collaboration.gc.ca</w:t>
              </w:r>
            </w:hyperlink>
            <w:r w:rsidR="004979E4" w:rsidRPr="00A17D06">
              <w:rPr>
                <w:rStyle w:val="Hyperlink"/>
                <w:bCs/>
                <w:sz w:val="20"/>
                <w:u w:val="none"/>
              </w:rPr>
              <w:t>)</w:t>
            </w:r>
          </w:p>
          <w:p w:rsidR="008F05C5" w:rsidRPr="00A17D06" w:rsidRDefault="008F05C5" w:rsidP="004979E4">
            <w:pPr>
              <w:numPr>
                <w:ilvl w:val="0"/>
                <w:numId w:val="5"/>
              </w:numPr>
              <w:rPr>
                <w:rFonts w:cs="Arial"/>
                <w:sz w:val="20"/>
              </w:rPr>
            </w:pPr>
            <w:r w:rsidRPr="00A17D06">
              <w:rPr>
                <w:rFonts w:cs="Arial"/>
                <w:i/>
                <w:sz w:val="20"/>
              </w:rPr>
              <w:t>Containment Standards for Facilities Handling Plan Pests</w:t>
            </w:r>
            <w:r w:rsidRPr="00A17D06">
              <w:rPr>
                <w:rFonts w:cs="Arial"/>
                <w:sz w:val="20"/>
              </w:rPr>
              <w:t>, CFIA,</w:t>
            </w:r>
          </w:p>
          <w:p w:rsidR="008F05C5" w:rsidRPr="00A17D06" w:rsidRDefault="008F05C5" w:rsidP="008F05C5">
            <w:pPr>
              <w:rPr>
                <w:rFonts w:cs="Arial"/>
                <w:sz w:val="20"/>
              </w:rPr>
            </w:pPr>
            <w:r w:rsidRPr="00A17D06">
              <w:rPr>
                <w:rFonts w:cs="Arial"/>
                <w:sz w:val="20"/>
              </w:rPr>
              <w:t>(</w:t>
            </w:r>
            <w:hyperlink r:id="rId37" w:history="1">
              <w:r w:rsidRPr="00A17D06">
                <w:rPr>
                  <w:rStyle w:val="Hyperlink"/>
                  <w:rFonts w:eastAsiaTheme="majorEastAsia" w:cs="Arial"/>
                  <w:sz w:val="20"/>
                </w:rPr>
                <w:t>http://www.inspection.gc.ca/english/sci/bio/plaveg/placone.pdf</w:t>
              </w:r>
            </w:hyperlink>
            <w:r w:rsidRPr="00A17D06">
              <w:rPr>
                <w:rFonts w:cs="Arial"/>
                <w:sz w:val="20"/>
              </w:rPr>
              <w:t>).</w:t>
            </w:r>
          </w:p>
          <w:p w:rsidR="008F05C5" w:rsidRPr="00A17D06" w:rsidRDefault="008F05C5" w:rsidP="008F05C5">
            <w:pPr>
              <w:numPr>
                <w:ilvl w:val="0"/>
                <w:numId w:val="5"/>
              </w:numPr>
              <w:rPr>
                <w:rFonts w:cs="Arial"/>
                <w:sz w:val="20"/>
              </w:rPr>
            </w:pPr>
            <w:r w:rsidRPr="00A17D06">
              <w:rPr>
                <w:rFonts w:cs="Arial"/>
                <w:i/>
                <w:sz w:val="20"/>
              </w:rPr>
              <w:t>Containment Standards for Facilities Handling Aquatic Animal Pathogens</w:t>
            </w:r>
            <w:r w:rsidRPr="00A17D06">
              <w:rPr>
                <w:rFonts w:cs="Arial"/>
                <w:sz w:val="20"/>
              </w:rPr>
              <w:t>, CFIA,</w:t>
            </w:r>
          </w:p>
          <w:p w:rsidR="008F05C5" w:rsidRPr="00A17D06" w:rsidRDefault="008F05C5" w:rsidP="008F05C5">
            <w:pPr>
              <w:rPr>
                <w:rFonts w:cs="Arial"/>
                <w:sz w:val="20"/>
              </w:rPr>
            </w:pPr>
            <w:r w:rsidRPr="00A17D06">
              <w:rPr>
                <w:rFonts w:cs="Arial"/>
                <w:sz w:val="20"/>
              </w:rPr>
              <w:t>(</w:t>
            </w:r>
            <w:hyperlink r:id="rId38" w:history="1">
              <w:r w:rsidRPr="00A17D06">
                <w:rPr>
                  <w:rStyle w:val="Hyperlink"/>
                  <w:rFonts w:eastAsiaTheme="majorEastAsia" w:cs="Arial"/>
                  <w:sz w:val="20"/>
                </w:rPr>
                <w:t>http://www.inspection.gc.ca/english/sci/bio/anima/aqu/csfncie.pdf</w:t>
              </w:r>
            </w:hyperlink>
            <w:r w:rsidRPr="00A17D06">
              <w:rPr>
                <w:rFonts w:cs="Arial"/>
                <w:sz w:val="20"/>
              </w:rPr>
              <w:t>).</w:t>
            </w:r>
          </w:p>
          <w:p w:rsidR="008F05C5" w:rsidRPr="00A17D06" w:rsidRDefault="008F05C5" w:rsidP="008F05C5">
            <w:pPr>
              <w:numPr>
                <w:ilvl w:val="0"/>
                <w:numId w:val="4"/>
              </w:numPr>
              <w:rPr>
                <w:rFonts w:cs="Arial"/>
                <w:sz w:val="20"/>
              </w:rPr>
            </w:pPr>
            <w:r w:rsidRPr="00A17D06">
              <w:rPr>
                <w:rFonts w:cs="Arial"/>
                <w:i/>
                <w:sz w:val="20"/>
              </w:rPr>
              <w:t>Laboratory Biosafety Manual</w:t>
            </w:r>
            <w:r w:rsidRPr="00A17D06">
              <w:rPr>
                <w:rFonts w:cs="Arial"/>
                <w:sz w:val="20"/>
              </w:rPr>
              <w:t>, World Health Organization,</w:t>
            </w:r>
          </w:p>
          <w:p w:rsidR="008F05C5" w:rsidRPr="00A17D06" w:rsidRDefault="008F05C5" w:rsidP="008F05C5">
            <w:pPr>
              <w:rPr>
                <w:rFonts w:cs="Arial"/>
                <w:sz w:val="20"/>
              </w:rPr>
            </w:pPr>
            <w:r w:rsidRPr="00A17D06">
              <w:rPr>
                <w:rFonts w:cs="Arial"/>
                <w:sz w:val="20"/>
              </w:rPr>
              <w:t>(</w:t>
            </w:r>
            <w:hyperlink r:id="rId39" w:history="1">
              <w:r w:rsidRPr="00A17D06">
                <w:rPr>
                  <w:rStyle w:val="Hyperlink"/>
                  <w:rFonts w:cs="Arial"/>
                  <w:sz w:val="20"/>
                </w:rPr>
                <w:t>http://www.who.int/csr/resources/publications/biosafety/WHO_CDS_CSR_LYO_2004_11/en/</w:t>
              </w:r>
            </w:hyperlink>
            <w:r w:rsidRPr="00A17D06">
              <w:rPr>
                <w:rFonts w:cs="Arial"/>
                <w:sz w:val="20"/>
              </w:rPr>
              <w:t>).</w:t>
            </w:r>
          </w:p>
          <w:p w:rsidR="008F05C5" w:rsidRPr="00A17D06" w:rsidRDefault="008F05C5" w:rsidP="008F05C5">
            <w:pPr>
              <w:numPr>
                <w:ilvl w:val="0"/>
                <w:numId w:val="4"/>
              </w:numPr>
              <w:rPr>
                <w:rFonts w:cs="Arial"/>
                <w:b/>
                <w:sz w:val="20"/>
              </w:rPr>
            </w:pPr>
            <w:r w:rsidRPr="00A17D06">
              <w:rPr>
                <w:rFonts w:cs="Arial"/>
                <w:i/>
                <w:sz w:val="20"/>
              </w:rPr>
              <w:t>Biosafety in Microbiological and Biomedical Laboratories</w:t>
            </w:r>
            <w:r w:rsidRPr="00A17D06">
              <w:rPr>
                <w:rFonts w:cs="Arial"/>
                <w:sz w:val="20"/>
              </w:rPr>
              <w:t>, Centers for Disease Control, National Institutes of Health,</w:t>
            </w:r>
          </w:p>
          <w:p w:rsidR="008F05C5" w:rsidRPr="00A17D06" w:rsidRDefault="008F05C5" w:rsidP="008F05C5">
            <w:pPr>
              <w:rPr>
                <w:rFonts w:cs="Arial"/>
                <w:sz w:val="20"/>
              </w:rPr>
            </w:pPr>
            <w:r w:rsidRPr="00A17D06">
              <w:rPr>
                <w:rFonts w:cs="Arial"/>
                <w:sz w:val="20"/>
              </w:rPr>
              <w:t>(</w:t>
            </w:r>
            <w:hyperlink r:id="rId40" w:history="1">
              <w:r w:rsidRPr="00A17D06">
                <w:rPr>
                  <w:rStyle w:val="Hyperlink"/>
                  <w:rFonts w:eastAsiaTheme="majorEastAsia" w:cs="Arial"/>
                  <w:sz w:val="20"/>
                </w:rPr>
                <w:t>http://www.cdc.gov/biosafety/publications/bmbl5/BMBL.pdf</w:t>
              </w:r>
            </w:hyperlink>
            <w:r w:rsidRPr="00A17D06">
              <w:rPr>
                <w:rFonts w:cs="Arial"/>
                <w:sz w:val="20"/>
              </w:rPr>
              <w:t>).</w:t>
            </w:r>
          </w:p>
          <w:p w:rsidR="007D0ACE" w:rsidRPr="001044C4" w:rsidRDefault="007D0ACE" w:rsidP="008F05C5">
            <w:pPr>
              <w:rPr>
                <w:rFonts w:cs="Arial"/>
                <w:b/>
                <w:szCs w:val="22"/>
              </w:rPr>
            </w:pPr>
          </w:p>
        </w:tc>
      </w:tr>
    </w:tbl>
    <w:p w:rsidR="008F05C5" w:rsidRPr="008F05C5" w:rsidRDefault="008F05C5" w:rsidP="008F05C5">
      <w:pPr>
        <w:rPr>
          <w:rFonts w:cs="Arial"/>
          <w:sz w:val="18"/>
          <w:szCs w:val="18"/>
        </w:rPr>
      </w:pPr>
    </w:p>
    <w:p w:rsidR="002C52F3" w:rsidRPr="00EF2005" w:rsidRDefault="008F05C5" w:rsidP="00EF2005">
      <w:pPr>
        <w:rPr>
          <w:rFonts w:cs="Arial"/>
          <w:i/>
          <w:sz w:val="18"/>
          <w:szCs w:val="18"/>
        </w:rPr>
      </w:pPr>
      <w:r w:rsidRPr="008F05C5">
        <w:rPr>
          <w:rFonts w:cs="Arial"/>
          <w:i/>
          <w:sz w:val="18"/>
          <w:szCs w:val="18"/>
        </w:rPr>
        <w:t>ENTER TEXT HERE….</w:t>
      </w:r>
      <w:r w:rsidR="002C52F3">
        <w:br w:type="page"/>
      </w:r>
    </w:p>
    <w:p w:rsidR="00E46CEC" w:rsidRPr="00E46CEC" w:rsidRDefault="002C52F3" w:rsidP="00E46CEC">
      <w:pPr>
        <w:pStyle w:val="Heading1"/>
        <w:numPr>
          <w:ilvl w:val="0"/>
          <w:numId w:val="24"/>
        </w:numPr>
      </w:pPr>
      <w:bookmarkStart w:id="22" w:name="_Toc316632001"/>
      <w:bookmarkStart w:id="23" w:name="_Toc516500702"/>
      <w:bookmarkStart w:id="24" w:name="_Toc516573342"/>
      <w:r w:rsidRPr="008D09EC">
        <w:lastRenderedPageBreak/>
        <w:t>Hazardous Waste Disposal</w:t>
      </w:r>
      <w:bookmarkEnd w:id="22"/>
      <w:bookmarkEnd w:id="23"/>
      <w:bookmarkEnd w:id="24"/>
    </w:p>
    <w:p w:rsidR="002C52F3" w:rsidRPr="002C52F3" w:rsidRDefault="002C52F3" w:rsidP="002C52F3">
      <w:pPr>
        <w:rPr>
          <w:rFonts w:cs="Arial"/>
          <w:sz w:val="18"/>
          <w:szCs w:val="18"/>
        </w:rPr>
      </w:pPr>
    </w:p>
    <w:p w:rsidR="002C52F3" w:rsidRPr="002C52F3" w:rsidRDefault="002C52F3" w:rsidP="002C52F3">
      <w:pPr>
        <w:rPr>
          <w:rFonts w:cs="Arial"/>
          <w:sz w:val="18"/>
          <w:szCs w:val="18"/>
        </w:rPr>
      </w:pPr>
    </w:p>
    <w:tbl>
      <w:tblPr>
        <w:tblStyle w:val="TableGrid"/>
        <w:tblW w:w="0" w:type="auto"/>
        <w:shd w:val="pct10" w:color="auto" w:fill="auto"/>
        <w:tblLook w:val="04A0" w:firstRow="1" w:lastRow="0" w:firstColumn="1" w:lastColumn="0" w:noHBand="0" w:noVBand="1"/>
      </w:tblPr>
      <w:tblGrid>
        <w:gridCol w:w="9084"/>
      </w:tblGrid>
      <w:tr w:rsidR="002C52F3" w:rsidRPr="002C52F3" w:rsidTr="002D0A88">
        <w:trPr>
          <w:trHeight w:val="1237"/>
        </w:trPr>
        <w:tc>
          <w:tcPr>
            <w:tcW w:w="9084" w:type="dxa"/>
            <w:shd w:val="clear" w:color="auto" w:fill="DFEBF5" w:themeFill="accent2" w:themeFillTint="33"/>
          </w:tcPr>
          <w:p w:rsidR="002C52F3" w:rsidRPr="00A17D06" w:rsidRDefault="002C52F3" w:rsidP="002C52F3">
            <w:pPr>
              <w:rPr>
                <w:rFonts w:cs="Arial"/>
                <w:b/>
                <w:sz w:val="20"/>
              </w:rPr>
            </w:pPr>
            <w:r w:rsidRPr="00A17D06">
              <w:rPr>
                <w:rFonts w:cs="Arial"/>
                <w:b/>
                <w:sz w:val="20"/>
              </w:rPr>
              <w:t xml:space="preserve">Instructions: </w:t>
            </w:r>
          </w:p>
          <w:p w:rsidR="002C52F3" w:rsidRPr="00A17D06" w:rsidRDefault="002C52F3" w:rsidP="002C52F3">
            <w:pPr>
              <w:rPr>
                <w:rFonts w:cs="Arial"/>
                <w:b/>
                <w:sz w:val="20"/>
              </w:rPr>
            </w:pPr>
          </w:p>
          <w:p w:rsidR="002C52F3" w:rsidRPr="00A17D06" w:rsidRDefault="002C52F3" w:rsidP="002C52F3">
            <w:pPr>
              <w:rPr>
                <w:rFonts w:cs="Arial"/>
                <w:sz w:val="20"/>
              </w:rPr>
            </w:pPr>
            <w:r w:rsidRPr="00A17D06">
              <w:rPr>
                <w:rFonts w:cs="Arial"/>
                <w:sz w:val="20"/>
              </w:rPr>
              <w:t>Provide a description of the disposal of hazardous and non-hazardous biological waste and other hazardous waste (e.g. chemical, radiological) that may be generated during work activities under the biosafety permit. The method of disposal for each type of hazardous waste (e.g. chemical disinfection, autoclave, service provider) should be included in the description.</w:t>
            </w:r>
          </w:p>
          <w:p w:rsidR="002C52F3" w:rsidRPr="002D0A88" w:rsidRDefault="002C52F3" w:rsidP="002C52F3">
            <w:pPr>
              <w:rPr>
                <w:rFonts w:cs="Arial"/>
                <w:b/>
                <w:szCs w:val="22"/>
              </w:rPr>
            </w:pPr>
          </w:p>
        </w:tc>
      </w:tr>
    </w:tbl>
    <w:p w:rsidR="002C52F3" w:rsidRPr="002C52F3" w:rsidRDefault="002C52F3" w:rsidP="002C52F3">
      <w:pPr>
        <w:rPr>
          <w:rFonts w:cs="Arial"/>
          <w:sz w:val="18"/>
          <w:szCs w:val="18"/>
        </w:rPr>
      </w:pPr>
    </w:p>
    <w:p w:rsidR="002C52F3" w:rsidRDefault="002C52F3" w:rsidP="002C52F3">
      <w:pPr>
        <w:rPr>
          <w:rFonts w:cs="Arial"/>
          <w:i/>
          <w:sz w:val="18"/>
          <w:szCs w:val="18"/>
        </w:rPr>
      </w:pPr>
      <w:r w:rsidRPr="002C52F3">
        <w:rPr>
          <w:rFonts w:cs="Arial"/>
          <w:i/>
          <w:sz w:val="18"/>
          <w:szCs w:val="18"/>
        </w:rPr>
        <w:t>ENTER TEXT HERE….</w:t>
      </w:r>
    </w:p>
    <w:p w:rsidR="00A17D06" w:rsidRPr="002C52F3" w:rsidRDefault="00A17D06" w:rsidP="002C52F3">
      <w:pPr>
        <w:rPr>
          <w:rFonts w:cs="Arial"/>
          <w:sz w:val="18"/>
          <w:szCs w:val="18"/>
        </w:rPr>
      </w:pPr>
    </w:p>
    <w:p w:rsidR="002C52F3" w:rsidRPr="002C52F3" w:rsidRDefault="002C52F3" w:rsidP="002C52F3">
      <w:pPr>
        <w:rPr>
          <w:rFonts w:cs="Arial"/>
          <w:b/>
          <w:bCs/>
          <w:sz w:val="18"/>
          <w:szCs w:val="18"/>
        </w:rPr>
      </w:pPr>
      <w:r w:rsidRPr="002C52F3">
        <w:rPr>
          <w:rFonts w:cs="Arial"/>
          <w:sz w:val="18"/>
          <w:szCs w:val="18"/>
        </w:rPr>
        <w:br w:type="page"/>
      </w:r>
    </w:p>
    <w:p w:rsidR="00350A5B" w:rsidRDefault="00350A5B" w:rsidP="008D09EC">
      <w:pPr>
        <w:pStyle w:val="Heading1"/>
        <w:numPr>
          <w:ilvl w:val="0"/>
          <w:numId w:val="24"/>
        </w:numPr>
      </w:pPr>
      <w:bookmarkStart w:id="25" w:name="_Toc316632002"/>
      <w:bookmarkStart w:id="26" w:name="_Toc516500703"/>
      <w:bookmarkStart w:id="27" w:name="_Toc516573343"/>
      <w:r w:rsidRPr="008D09EC">
        <w:lastRenderedPageBreak/>
        <w:t>Emergency Response</w:t>
      </w:r>
      <w:bookmarkEnd w:id="25"/>
      <w:bookmarkEnd w:id="26"/>
      <w:bookmarkEnd w:id="27"/>
    </w:p>
    <w:p w:rsidR="00A17D06" w:rsidRPr="00A17D06" w:rsidRDefault="00A17D06" w:rsidP="00A17D06"/>
    <w:p w:rsidR="00350A5B" w:rsidRPr="00350A5B" w:rsidRDefault="00350A5B" w:rsidP="006C4EA8">
      <w:pPr>
        <w:jc w:val="left"/>
        <w:rPr>
          <w:rFonts w:cs="Arial"/>
          <w:sz w:val="18"/>
          <w:szCs w:val="18"/>
        </w:rPr>
      </w:pPr>
    </w:p>
    <w:tbl>
      <w:tblPr>
        <w:tblStyle w:val="TableGrid"/>
        <w:tblW w:w="0" w:type="auto"/>
        <w:tblLook w:val="04A0" w:firstRow="1" w:lastRow="0" w:firstColumn="1" w:lastColumn="0" w:noHBand="0" w:noVBand="1"/>
      </w:tblPr>
      <w:tblGrid>
        <w:gridCol w:w="9350"/>
      </w:tblGrid>
      <w:tr w:rsidR="002D0A88" w:rsidTr="002D0A88">
        <w:tc>
          <w:tcPr>
            <w:tcW w:w="9576" w:type="dxa"/>
            <w:shd w:val="clear" w:color="auto" w:fill="DFEBF5" w:themeFill="accent2" w:themeFillTint="33"/>
          </w:tcPr>
          <w:p w:rsidR="002D0A88" w:rsidRPr="00A17D06" w:rsidRDefault="002D0A88" w:rsidP="00A17D06">
            <w:pPr>
              <w:pBdr>
                <w:bottom w:val="single" w:sz="4" w:space="1" w:color="auto"/>
              </w:pBdr>
              <w:shd w:val="clear" w:color="auto" w:fill="DFEBF5" w:themeFill="accent2" w:themeFillTint="33"/>
              <w:jc w:val="left"/>
              <w:rPr>
                <w:rFonts w:cs="Arial"/>
                <w:b/>
                <w:sz w:val="20"/>
              </w:rPr>
            </w:pPr>
            <w:r w:rsidRPr="00A17D06">
              <w:rPr>
                <w:rFonts w:cs="Arial"/>
                <w:b/>
                <w:sz w:val="20"/>
              </w:rPr>
              <w:t xml:space="preserve">Instructions: </w:t>
            </w:r>
          </w:p>
          <w:p w:rsidR="002D0A88" w:rsidRPr="00A17D06" w:rsidRDefault="002D0A88" w:rsidP="00A17D06">
            <w:pPr>
              <w:pBdr>
                <w:bottom w:val="single" w:sz="4" w:space="1" w:color="auto"/>
              </w:pBdr>
              <w:shd w:val="clear" w:color="auto" w:fill="DFEBF5" w:themeFill="accent2" w:themeFillTint="33"/>
              <w:jc w:val="left"/>
              <w:rPr>
                <w:rFonts w:cs="Arial"/>
                <w:sz w:val="20"/>
              </w:rPr>
            </w:pPr>
          </w:p>
          <w:p w:rsidR="002D0A88" w:rsidRPr="00A17D06" w:rsidRDefault="002D0A88" w:rsidP="00A17D06">
            <w:pPr>
              <w:pBdr>
                <w:bottom w:val="single" w:sz="4" w:space="1" w:color="auto"/>
              </w:pBdr>
              <w:shd w:val="clear" w:color="auto" w:fill="DFEBF5" w:themeFill="accent2" w:themeFillTint="33"/>
              <w:jc w:val="left"/>
              <w:rPr>
                <w:rFonts w:cs="Arial"/>
                <w:sz w:val="20"/>
              </w:rPr>
            </w:pPr>
            <w:r w:rsidRPr="00A17D06">
              <w:rPr>
                <w:rFonts w:cs="Arial"/>
                <w:sz w:val="20"/>
              </w:rPr>
              <w:t>Provide a description of the measures to be taken in the event of an emergency. Procedures should be developed to respond to the following types of incidents:</w:t>
            </w:r>
          </w:p>
          <w:p w:rsidR="002D0A88" w:rsidRPr="00A17D06" w:rsidRDefault="002D0A88" w:rsidP="00A17D06">
            <w:pPr>
              <w:pBdr>
                <w:bottom w:val="single" w:sz="4" w:space="1" w:color="auto"/>
              </w:pBdr>
              <w:shd w:val="clear" w:color="auto" w:fill="DFEBF5" w:themeFill="accent2" w:themeFillTint="33"/>
              <w:jc w:val="left"/>
              <w:rPr>
                <w:rFonts w:cs="Arial"/>
                <w:sz w:val="20"/>
              </w:rPr>
            </w:pPr>
          </w:p>
          <w:p w:rsidR="002D0A88"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Medical emergencies which include injuries and confirmed or sus</w:t>
            </w:r>
            <w:r w:rsidR="00937BC0" w:rsidRPr="00A17D06">
              <w:rPr>
                <w:rFonts w:cs="Arial"/>
                <w:sz w:val="20"/>
              </w:rPr>
              <w:t>pected illness from exposure to pathogens or biohazardous material</w:t>
            </w:r>
          </w:p>
          <w:p w:rsidR="00937BC0"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Spills of hazardous materials;</w:t>
            </w:r>
          </w:p>
          <w:p w:rsidR="002D0A88"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Containment equipment failures;</w:t>
            </w:r>
          </w:p>
          <w:p w:rsidR="002D0A88"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Loss or theft of hazardous materials;</w:t>
            </w:r>
          </w:p>
          <w:p w:rsidR="002D0A88"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Power outages;</w:t>
            </w:r>
          </w:p>
          <w:p w:rsidR="002D0A88" w:rsidRPr="00A17D06" w:rsidRDefault="002D0A88" w:rsidP="00A17D06">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Fire; or</w:t>
            </w:r>
          </w:p>
          <w:p w:rsidR="002D0A88" w:rsidRPr="007D0ACE" w:rsidRDefault="002D0A88" w:rsidP="007D0ACE">
            <w:pPr>
              <w:pStyle w:val="ListParagraph"/>
              <w:numPr>
                <w:ilvl w:val="0"/>
                <w:numId w:val="36"/>
              </w:numPr>
              <w:pBdr>
                <w:bottom w:val="single" w:sz="4" w:space="1" w:color="auto"/>
              </w:pBdr>
              <w:shd w:val="clear" w:color="auto" w:fill="DFEBF5" w:themeFill="accent2" w:themeFillTint="33"/>
              <w:jc w:val="left"/>
              <w:rPr>
                <w:rFonts w:cs="Arial"/>
                <w:sz w:val="20"/>
              </w:rPr>
            </w:pPr>
            <w:r w:rsidRPr="00A17D06">
              <w:rPr>
                <w:rFonts w:cs="Arial"/>
                <w:sz w:val="20"/>
              </w:rPr>
              <w:t>Other types of incidents related to the work activities (e.g. an uncontrolled release to the environment).</w:t>
            </w:r>
          </w:p>
        </w:tc>
      </w:tr>
    </w:tbl>
    <w:p w:rsidR="00624B0F" w:rsidRDefault="00624B0F" w:rsidP="006C4EA8">
      <w:pPr>
        <w:jc w:val="left"/>
        <w:rPr>
          <w:rFonts w:cs="Arial"/>
          <w:sz w:val="18"/>
          <w:szCs w:val="18"/>
        </w:rPr>
      </w:pPr>
    </w:p>
    <w:p w:rsidR="00624B0F" w:rsidRDefault="00624B0F" w:rsidP="007D0ACE">
      <w:pPr>
        <w:rPr>
          <w:rFonts w:cs="Arial"/>
          <w:sz w:val="18"/>
          <w:szCs w:val="18"/>
        </w:rPr>
      </w:pPr>
      <w:r w:rsidRPr="002C52F3">
        <w:rPr>
          <w:rFonts w:cs="Arial"/>
          <w:i/>
          <w:sz w:val="18"/>
          <w:szCs w:val="18"/>
        </w:rPr>
        <w:t>ENTER TEXT HERE….</w:t>
      </w:r>
    </w:p>
    <w:sectPr w:rsidR="00624B0F" w:rsidSect="00DD56F6">
      <w:footerReference w:type="default" r:id="rId41"/>
      <w:headerReference w:type="first" r:id="rId4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58" w:rsidRDefault="00B00A58" w:rsidP="008929E9">
      <w:pPr>
        <w:spacing w:line="240" w:lineRule="auto"/>
      </w:pPr>
      <w:r>
        <w:separator/>
      </w:r>
    </w:p>
  </w:endnote>
  <w:endnote w:type="continuationSeparator" w:id="0">
    <w:p w:rsidR="00B00A58" w:rsidRDefault="00B00A58" w:rsidP="00892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02" w:rsidRDefault="00DE7E02">
    <w:pPr>
      <w:pStyle w:val="Footer"/>
      <w:pBdr>
        <w:top w:val="thinThickSmallGap" w:sz="24" w:space="1" w:color="224E76" w:themeColor="accent2" w:themeShade="7F"/>
      </w:pBdr>
      <w:rPr>
        <w:rFonts w:asciiTheme="majorHAnsi" w:eastAsiaTheme="majorEastAsia" w:hAnsiTheme="majorHAnsi" w:cstheme="majorBidi"/>
      </w:rPr>
    </w:pPr>
    <w:r w:rsidRPr="00DE7E02">
      <w:rPr>
        <w:rFonts w:asciiTheme="majorHAnsi" w:eastAsiaTheme="majorEastAsia" w:hAnsiTheme="majorHAnsi" w:cstheme="majorBidi"/>
      </w:rPr>
      <w:t>University of Lethbridge</w:t>
    </w:r>
  </w:p>
  <w:p w:rsidR="0056767A" w:rsidRDefault="00DE7E02">
    <w:pPr>
      <w:pStyle w:val="Footer"/>
      <w:pBdr>
        <w:top w:val="thinThickSmallGap" w:sz="24" w:space="1" w:color="224E76" w:themeColor="accent2" w:themeShade="7F"/>
      </w:pBdr>
      <w:rPr>
        <w:rFonts w:asciiTheme="majorHAnsi" w:eastAsiaTheme="majorEastAsia" w:hAnsiTheme="majorHAnsi" w:cstheme="majorBidi"/>
      </w:rPr>
    </w:pPr>
    <w:r>
      <w:rPr>
        <w:rFonts w:asciiTheme="majorHAnsi" w:eastAsiaTheme="majorEastAsia" w:hAnsiTheme="majorHAnsi" w:cstheme="majorBidi"/>
      </w:rPr>
      <w:t>Biosafety Plan Template</w:t>
    </w:r>
    <w:r w:rsidR="0056767A">
      <w:rPr>
        <w:rFonts w:asciiTheme="majorHAnsi" w:eastAsiaTheme="majorEastAsia" w:hAnsiTheme="majorHAnsi" w:cstheme="majorBidi"/>
      </w:rPr>
      <w:ptab w:relativeTo="margin" w:alignment="right" w:leader="none"/>
    </w:r>
    <w:r w:rsidR="0056767A">
      <w:rPr>
        <w:rFonts w:asciiTheme="majorHAnsi" w:eastAsiaTheme="majorEastAsia" w:hAnsiTheme="majorHAnsi" w:cstheme="majorBidi"/>
      </w:rPr>
      <w:t xml:space="preserve">Page </w:t>
    </w:r>
    <w:r w:rsidR="0056767A">
      <w:rPr>
        <w:rFonts w:asciiTheme="minorHAnsi" w:eastAsiaTheme="minorEastAsia" w:hAnsiTheme="minorHAnsi"/>
      </w:rPr>
      <w:fldChar w:fldCharType="begin"/>
    </w:r>
    <w:r w:rsidR="0056767A">
      <w:instrText xml:space="preserve"> PAGE   \* MERGEFORMAT </w:instrText>
    </w:r>
    <w:r w:rsidR="0056767A">
      <w:rPr>
        <w:rFonts w:asciiTheme="minorHAnsi" w:eastAsiaTheme="minorEastAsia" w:hAnsiTheme="minorHAnsi"/>
      </w:rPr>
      <w:fldChar w:fldCharType="separate"/>
    </w:r>
    <w:r w:rsidR="007D0ACE" w:rsidRPr="007D0ACE">
      <w:rPr>
        <w:rFonts w:asciiTheme="majorHAnsi" w:eastAsiaTheme="majorEastAsia" w:hAnsiTheme="majorHAnsi" w:cstheme="majorBidi"/>
        <w:noProof/>
      </w:rPr>
      <w:t>14</w:t>
    </w:r>
    <w:r w:rsidR="0056767A">
      <w:rPr>
        <w:rFonts w:asciiTheme="majorHAnsi" w:eastAsiaTheme="majorEastAsia" w:hAnsiTheme="majorHAnsi" w:cstheme="majorBidi"/>
        <w:noProof/>
      </w:rPr>
      <w:fldChar w:fldCharType="end"/>
    </w:r>
  </w:p>
  <w:p w:rsidR="0056767A" w:rsidRDefault="00567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58" w:rsidRDefault="00B00A58" w:rsidP="008929E9">
      <w:pPr>
        <w:spacing w:line="240" w:lineRule="auto"/>
      </w:pPr>
      <w:r>
        <w:separator/>
      </w:r>
    </w:p>
  </w:footnote>
  <w:footnote w:type="continuationSeparator" w:id="0">
    <w:p w:rsidR="00B00A58" w:rsidRDefault="00B00A58" w:rsidP="008929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46" w:rsidRDefault="00564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95"/>
    <w:multiLevelType w:val="hybridMultilevel"/>
    <w:tmpl w:val="F69AF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4C15"/>
    <w:multiLevelType w:val="hybridMultilevel"/>
    <w:tmpl w:val="50A4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73C6"/>
    <w:multiLevelType w:val="hybridMultilevel"/>
    <w:tmpl w:val="9EC69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E31DDA"/>
    <w:multiLevelType w:val="hybridMultilevel"/>
    <w:tmpl w:val="4094F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080D"/>
    <w:multiLevelType w:val="hybridMultilevel"/>
    <w:tmpl w:val="1BF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2AD0"/>
    <w:multiLevelType w:val="hybridMultilevel"/>
    <w:tmpl w:val="2E922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F81BA4"/>
    <w:multiLevelType w:val="hybridMultilevel"/>
    <w:tmpl w:val="C8062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CE2B8B"/>
    <w:multiLevelType w:val="hybridMultilevel"/>
    <w:tmpl w:val="8408BE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265EB2"/>
    <w:multiLevelType w:val="hybridMultilevel"/>
    <w:tmpl w:val="2C74D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6B0668"/>
    <w:multiLevelType w:val="hybridMultilevel"/>
    <w:tmpl w:val="1D4AF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B86CEB"/>
    <w:multiLevelType w:val="hybridMultilevel"/>
    <w:tmpl w:val="7A6CF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0C007A"/>
    <w:multiLevelType w:val="hybridMultilevel"/>
    <w:tmpl w:val="0AB05B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5F105E"/>
    <w:multiLevelType w:val="hybridMultilevel"/>
    <w:tmpl w:val="0A88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23D6"/>
    <w:multiLevelType w:val="hybridMultilevel"/>
    <w:tmpl w:val="9AAA0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8D1E84"/>
    <w:multiLevelType w:val="hybridMultilevel"/>
    <w:tmpl w:val="CCD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528B"/>
    <w:multiLevelType w:val="hybridMultilevel"/>
    <w:tmpl w:val="ED44D946"/>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6" w15:restartNumberingAfterBreak="0">
    <w:nsid w:val="32CB4D54"/>
    <w:multiLevelType w:val="hybridMultilevel"/>
    <w:tmpl w:val="C1D494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2D55241"/>
    <w:multiLevelType w:val="hybridMultilevel"/>
    <w:tmpl w:val="B5DC2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5E6123"/>
    <w:multiLevelType w:val="hybridMultilevel"/>
    <w:tmpl w:val="96B89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9391C"/>
    <w:multiLevelType w:val="hybridMultilevel"/>
    <w:tmpl w:val="9080F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57CF9"/>
    <w:multiLevelType w:val="hybridMultilevel"/>
    <w:tmpl w:val="461A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A96FB7"/>
    <w:multiLevelType w:val="hybridMultilevel"/>
    <w:tmpl w:val="40D6B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EF7099"/>
    <w:multiLevelType w:val="hybridMultilevel"/>
    <w:tmpl w:val="F0FA6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A6534"/>
    <w:multiLevelType w:val="hybridMultilevel"/>
    <w:tmpl w:val="87C0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444"/>
    <w:multiLevelType w:val="hybridMultilevel"/>
    <w:tmpl w:val="43E6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7775D"/>
    <w:multiLevelType w:val="hybridMultilevel"/>
    <w:tmpl w:val="CF7677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EB0732"/>
    <w:multiLevelType w:val="hybridMultilevel"/>
    <w:tmpl w:val="F0FA6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44275"/>
    <w:multiLevelType w:val="hybridMultilevel"/>
    <w:tmpl w:val="D490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D699B"/>
    <w:multiLevelType w:val="hybridMultilevel"/>
    <w:tmpl w:val="33886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B33DF2"/>
    <w:multiLevelType w:val="hybridMultilevel"/>
    <w:tmpl w:val="52B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E35DE"/>
    <w:multiLevelType w:val="hybridMultilevel"/>
    <w:tmpl w:val="18F28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976A1"/>
    <w:multiLevelType w:val="hybridMultilevel"/>
    <w:tmpl w:val="82AA4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901F6D"/>
    <w:multiLevelType w:val="hybridMultilevel"/>
    <w:tmpl w:val="AD540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1E60EF"/>
    <w:multiLevelType w:val="hybridMultilevel"/>
    <w:tmpl w:val="6E8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56934"/>
    <w:multiLevelType w:val="hybridMultilevel"/>
    <w:tmpl w:val="F0FA6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F68DE"/>
    <w:multiLevelType w:val="hybridMultilevel"/>
    <w:tmpl w:val="B1B4F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23260B"/>
    <w:multiLevelType w:val="hybridMultilevel"/>
    <w:tmpl w:val="3F562C7E"/>
    <w:lvl w:ilvl="0" w:tplc="10090001">
      <w:start w:val="1"/>
      <w:numFmt w:val="bullet"/>
      <w:lvlText w:val=""/>
      <w:lvlJc w:val="left"/>
      <w:pPr>
        <w:ind w:left="816" w:hanging="360"/>
      </w:pPr>
      <w:rPr>
        <w:rFonts w:ascii="Symbol" w:hAnsi="Symbol" w:hint="default"/>
      </w:rPr>
    </w:lvl>
    <w:lvl w:ilvl="1" w:tplc="10090003" w:tentative="1">
      <w:start w:val="1"/>
      <w:numFmt w:val="bullet"/>
      <w:lvlText w:val="o"/>
      <w:lvlJc w:val="left"/>
      <w:pPr>
        <w:ind w:left="1536" w:hanging="360"/>
      </w:pPr>
      <w:rPr>
        <w:rFonts w:ascii="Courier New" w:hAnsi="Courier New" w:cs="Courier New" w:hint="default"/>
      </w:rPr>
    </w:lvl>
    <w:lvl w:ilvl="2" w:tplc="10090005" w:tentative="1">
      <w:start w:val="1"/>
      <w:numFmt w:val="bullet"/>
      <w:lvlText w:val=""/>
      <w:lvlJc w:val="left"/>
      <w:pPr>
        <w:ind w:left="2256" w:hanging="360"/>
      </w:pPr>
      <w:rPr>
        <w:rFonts w:ascii="Wingdings" w:hAnsi="Wingdings" w:hint="default"/>
      </w:rPr>
    </w:lvl>
    <w:lvl w:ilvl="3" w:tplc="10090001" w:tentative="1">
      <w:start w:val="1"/>
      <w:numFmt w:val="bullet"/>
      <w:lvlText w:val=""/>
      <w:lvlJc w:val="left"/>
      <w:pPr>
        <w:ind w:left="2976" w:hanging="360"/>
      </w:pPr>
      <w:rPr>
        <w:rFonts w:ascii="Symbol" w:hAnsi="Symbol" w:hint="default"/>
      </w:rPr>
    </w:lvl>
    <w:lvl w:ilvl="4" w:tplc="10090003" w:tentative="1">
      <w:start w:val="1"/>
      <w:numFmt w:val="bullet"/>
      <w:lvlText w:val="o"/>
      <w:lvlJc w:val="left"/>
      <w:pPr>
        <w:ind w:left="3696" w:hanging="360"/>
      </w:pPr>
      <w:rPr>
        <w:rFonts w:ascii="Courier New" w:hAnsi="Courier New" w:cs="Courier New" w:hint="default"/>
      </w:rPr>
    </w:lvl>
    <w:lvl w:ilvl="5" w:tplc="10090005" w:tentative="1">
      <w:start w:val="1"/>
      <w:numFmt w:val="bullet"/>
      <w:lvlText w:val=""/>
      <w:lvlJc w:val="left"/>
      <w:pPr>
        <w:ind w:left="4416" w:hanging="360"/>
      </w:pPr>
      <w:rPr>
        <w:rFonts w:ascii="Wingdings" w:hAnsi="Wingdings" w:hint="default"/>
      </w:rPr>
    </w:lvl>
    <w:lvl w:ilvl="6" w:tplc="10090001" w:tentative="1">
      <w:start w:val="1"/>
      <w:numFmt w:val="bullet"/>
      <w:lvlText w:val=""/>
      <w:lvlJc w:val="left"/>
      <w:pPr>
        <w:ind w:left="5136" w:hanging="360"/>
      </w:pPr>
      <w:rPr>
        <w:rFonts w:ascii="Symbol" w:hAnsi="Symbol" w:hint="default"/>
      </w:rPr>
    </w:lvl>
    <w:lvl w:ilvl="7" w:tplc="10090003" w:tentative="1">
      <w:start w:val="1"/>
      <w:numFmt w:val="bullet"/>
      <w:lvlText w:val="o"/>
      <w:lvlJc w:val="left"/>
      <w:pPr>
        <w:ind w:left="5856" w:hanging="360"/>
      </w:pPr>
      <w:rPr>
        <w:rFonts w:ascii="Courier New" w:hAnsi="Courier New" w:cs="Courier New" w:hint="default"/>
      </w:rPr>
    </w:lvl>
    <w:lvl w:ilvl="8" w:tplc="10090005" w:tentative="1">
      <w:start w:val="1"/>
      <w:numFmt w:val="bullet"/>
      <w:lvlText w:val=""/>
      <w:lvlJc w:val="left"/>
      <w:pPr>
        <w:ind w:left="6576" w:hanging="360"/>
      </w:pPr>
      <w:rPr>
        <w:rFonts w:ascii="Wingdings" w:hAnsi="Wingdings" w:hint="default"/>
      </w:rPr>
    </w:lvl>
  </w:abstractNum>
  <w:abstractNum w:abstractNumId="37" w15:restartNumberingAfterBreak="0">
    <w:nsid w:val="764F021E"/>
    <w:multiLevelType w:val="hybridMultilevel"/>
    <w:tmpl w:val="CBE80B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1E6325"/>
    <w:multiLevelType w:val="hybridMultilevel"/>
    <w:tmpl w:val="71926B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7"/>
  </w:num>
  <w:num w:numId="4">
    <w:abstractNumId w:val="12"/>
  </w:num>
  <w:num w:numId="5">
    <w:abstractNumId w:val="29"/>
  </w:num>
  <w:num w:numId="6">
    <w:abstractNumId w:val="38"/>
  </w:num>
  <w:num w:numId="7">
    <w:abstractNumId w:val="13"/>
  </w:num>
  <w:num w:numId="8">
    <w:abstractNumId w:val="20"/>
  </w:num>
  <w:num w:numId="9">
    <w:abstractNumId w:val="18"/>
  </w:num>
  <w:num w:numId="10">
    <w:abstractNumId w:val="23"/>
  </w:num>
  <w:num w:numId="11">
    <w:abstractNumId w:val="4"/>
  </w:num>
  <w:num w:numId="12">
    <w:abstractNumId w:val="22"/>
  </w:num>
  <w:num w:numId="13">
    <w:abstractNumId w:val="26"/>
  </w:num>
  <w:num w:numId="14">
    <w:abstractNumId w:val="0"/>
  </w:num>
  <w:num w:numId="15">
    <w:abstractNumId w:val="34"/>
  </w:num>
  <w:num w:numId="16">
    <w:abstractNumId w:val="30"/>
  </w:num>
  <w:num w:numId="17">
    <w:abstractNumId w:val="3"/>
  </w:num>
  <w:num w:numId="18">
    <w:abstractNumId w:val="27"/>
  </w:num>
  <w:num w:numId="19">
    <w:abstractNumId w:val="14"/>
  </w:num>
  <w:num w:numId="20">
    <w:abstractNumId w:val="19"/>
  </w:num>
  <w:num w:numId="21">
    <w:abstractNumId w:val="1"/>
  </w:num>
  <w:num w:numId="22">
    <w:abstractNumId w:val="24"/>
  </w:num>
  <w:num w:numId="23">
    <w:abstractNumId w:val="33"/>
  </w:num>
  <w:num w:numId="24">
    <w:abstractNumId w:val="25"/>
  </w:num>
  <w:num w:numId="25">
    <w:abstractNumId w:val="11"/>
  </w:num>
  <w:num w:numId="26">
    <w:abstractNumId w:val="37"/>
  </w:num>
  <w:num w:numId="27">
    <w:abstractNumId w:val="31"/>
  </w:num>
  <w:num w:numId="28">
    <w:abstractNumId w:val="9"/>
  </w:num>
  <w:num w:numId="29">
    <w:abstractNumId w:val="10"/>
  </w:num>
  <w:num w:numId="30">
    <w:abstractNumId w:val="16"/>
  </w:num>
  <w:num w:numId="31">
    <w:abstractNumId w:val="21"/>
  </w:num>
  <w:num w:numId="32">
    <w:abstractNumId w:val="8"/>
  </w:num>
  <w:num w:numId="33">
    <w:abstractNumId w:val="2"/>
  </w:num>
  <w:num w:numId="34">
    <w:abstractNumId w:val="6"/>
  </w:num>
  <w:num w:numId="35">
    <w:abstractNumId w:val="32"/>
  </w:num>
  <w:num w:numId="36">
    <w:abstractNumId w:val="28"/>
  </w:num>
  <w:num w:numId="37">
    <w:abstractNumId w:val="5"/>
  </w:num>
  <w:num w:numId="38">
    <w:abstractNumId w:val="1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1D"/>
    <w:rsid w:val="000138CD"/>
    <w:rsid w:val="00024791"/>
    <w:rsid w:val="00042AFE"/>
    <w:rsid w:val="0006205B"/>
    <w:rsid w:val="000C7AE1"/>
    <w:rsid w:val="001044C4"/>
    <w:rsid w:val="00202DBA"/>
    <w:rsid w:val="00211411"/>
    <w:rsid w:val="00215309"/>
    <w:rsid w:val="00226C1E"/>
    <w:rsid w:val="00274A8D"/>
    <w:rsid w:val="002A5EB4"/>
    <w:rsid w:val="002C52F3"/>
    <w:rsid w:val="002D0A88"/>
    <w:rsid w:val="002D1F49"/>
    <w:rsid w:val="002E4BCC"/>
    <w:rsid w:val="00350A5B"/>
    <w:rsid w:val="00366405"/>
    <w:rsid w:val="003A4234"/>
    <w:rsid w:val="003A55CD"/>
    <w:rsid w:val="00440C52"/>
    <w:rsid w:val="0049081D"/>
    <w:rsid w:val="004979E4"/>
    <w:rsid w:val="004A4E9E"/>
    <w:rsid w:val="004C5CA3"/>
    <w:rsid w:val="00505035"/>
    <w:rsid w:val="00537512"/>
    <w:rsid w:val="00564546"/>
    <w:rsid w:val="00565D2E"/>
    <w:rsid w:val="0056767A"/>
    <w:rsid w:val="005F383D"/>
    <w:rsid w:val="005F4865"/>
    <w:rsid w:val="00624B0F"/>
    <w:rsid w:val="00630E14"/>
    <w:rsid w:val="00642C1F"/>
    <w:rsid w:val="006C4EA8"/>
    <w:rsid w:val="007A3395"/>
    <w:rsid w:val="007D0ACE"/>
    <w:rsid w:val="00816537"/>
    <w:rsid w:val="00861AF1"/>
    <w:rsid w:val="00891BC8"/>
    <w:rsid w:val="008929E9"/>
    <w:rsid w:val="008B3778"/>
    <w:rsid w:val="008B7E50"/>
    <w:rsid w:val="008D09EC"/>
    <w:rsid w:val="008F05C5"/>
    <w:rsid w:val="008F6FD5"/>
    <w:rsid w:val="00922A87"/>
    <w:rsid w:val="00923699"/>
    <w:rsid w:val="00937BC0"/>
    <w:rsid w:val="009851E3"/>
    <w:rsid w:val="009F2CFE"/>
    <w:rsid w:val="00A17D06"/>
    <w:rsid w:val="00A25452"/>
    <w:rsid w:val="00A35A15"/>
    <w:rsid w:val="00A83CC6"/>
    <w:rsid w:val="00AC6933"/>
    <w:rsid w:val="00B00A58"/>
    <w:rsid w:val="00B309F8"/>
    <w:rsid w:val="00BE76DE"/>
    <w:rsid w:val="00C01151"/>
    <w:rsid w:val="00C104B4"/>
    <w:rsid w:val="00C22CB1"/>
    <w:rsid w:val="00C2751D"/>
    <w:rsid w:val="00CB6EA5"/>
    <w:rsid w:val="00CC0069"/>
    <w:rsid w:val="00CC233F"/>
    <w:rsid w:val="00CF098F"/>
    <w:rsid w:val="00D308B3"/>
    <w:rsid w:val="00D35101"/>
    <w:rsid w:val="00D578E6"/>
    <w:rsid w:val="00D75C97"/>
    <w:rsid w:val="00D84FA8"/>
    <w:rsid w:val="00DB121A"/>
    <w:rsid w:val="00DC454D"/>
    <w:rsid w:val="00DD56F6"/>
    <w:rsid w:val="00DE7E02"/>
    <w:rsid w:val="00DF053B"/>
    <w:rsid w:val="00E36A06"/>
    <w:rsid w:val="00E46CEC"/>
    <w:rsid w:val="00E909B5"/>
    <w:rsid w:val="00EF2005"/>
    <w:rsid w:val="00EF65EE"/>
    <w:rsid w:val="00F51BE0"/>
    <w:rsid w:val="00F66BFB"/>
    <w:rsid w:val="00F778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457B9C0-3F2C-4CEC-8568-DFF777A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FE"/>
    <w:pPr>
      <w:spacing w:after="0" w:line="264" w:lineRule="auto"/>
      <w:jc w:val="both"/>
    </w:pPr>
    <w:rPr>
      <w:rFonts w:ascii="Arial" w:eastAsia="Times New Roman" w:hAnsi="Arial"/>
      <w:szCs w:val="20"/>
      <w:lang w:val="en-US"/>
    </w:rPr>
  </w:style>
  <w:style w:type="paragraph" w:styleId="Heading1">
    <w:name w:val="heading 1"/>
    <w:basedOn w:val="Normal"/>
    <w:next w:val="Normal"/>
    <w:link w:val="Heading1Char"/>
    <w:uiPriority w:val="9"/>
    <w:qFormat/>
    <w:rsid w:val="00E36A06"/>
    <w:pPr>
      <w:keepNext/>
      <w:keepLines/>
      <w:spacing w:before="48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semiHidden/>
    <w:unhideWhenUsed/>
    <w:qFormat/>
    <w:rsid w:val="00350A5B"/>
    <w:pPr>
      <w:keepNext/>
      <w:keepLines/>
      <w:spacing w:before="20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semiHidden/>
    <w:unhideWhenUsed/>
    <w:qFormat/>
    <w:rsid w:val="00350A5B"/>
    <w:pPr>
      <w:keepNext/>
      <w:keepLines/>
      <w:spacing w:before="200"/>
      <w:outlineLvl w:val="2"/>
    </w:pPr>
    <w:rPr>
      <w:rFonts w:asciiTheme="majorHAnsi" w:eastAsiaTheme="majorEastAsia" w:hAnsiTheme="majorHAnsi" w:cstheme="majorBidi"/>
      <w:b/>
      <w:bCs/>
      <w:color w:val="4A66AC"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51D"/>
    <w:rPr>
      <w:color w:val="9454C3" w:themeColor="hyperlink"/>
      <w:u w:val="single"/>
    </w:rPr>
  </w:style>
  <w:style w:type="character" w:customStyle="1" w:styleId="Heading1Char">
    <w:name w:val="Heading 1 Char"/>
    <w:basedOn w:val="DefaultParagraphFont"/>
    <w:link w:val="Heading1"/>
    <w:uiPriority w:val="9"/>
    <w:rsid w:val="00E36A06"/>
    <w:rPr>
      <w:rFonts w:asciiTheme="majorHAnsi" w:eastAsiaTheme="majorEastAsia" w:hAnsiTheme="majorHAnsi" w:cstheme="majorBidi"/>
      <w:bCs/>
      <w:sz w:val="32"/>
      <w:szCs w:val="28"/>
      <w:lang w:val="en-US"/>
    </w:rPr>
  </w:style>
  <w:style w:type="paragraph" w:styleId="TOCHeading">
    <w:name w:val="TOC Heading"/>
    <w:basedOn w:val="Heading1"/>
    <w:next w:val="Normal"/>
    <w:uiPriority w:val="39"/>
    <w:unhideWhenUsed/>
    <w:qFormat/>
    <w:rsid w:val="00CF098F"/>
    <w:pPr>
      <w:keepLines w:val="0"/>
      <w:spacing w:before="240" w:after="60"/>
      <w:outlineLvl w:val="9"/>
    </w:pPr>
    <w:rPr>
      <w:kern w:val="32"/>
      <w:szCs w:val="32"/>
    </w:rPr>
  </w:style>
  <w:style w:type="paragraph" w:styleId="TOC1">
    <w:name w:val="toc 1"/>
    <w:basedOn w:val="Normal"/>
    <w:next w:val="Normal"/>
    <w:autoRedefine/>
    <w:uiPriority w:val="39"/>
    <w:unhideWhenUsed/>
    <w:rsid w:val="00CF098F"/>
    <w:pPr>
      <w:spacing w:after="100"/>
    </w:pPr>
  </w:style>
  <w:style w:type="paragraph" w:styleId="TOC2">
    <w:name w:val="toc 2"/>
    <w:basedOn w:val="Normal"/>
    <w:next w:val="Normal"/>
    <w:autoRedefine/>
    <w:uiPriority w:val="39"/>
    <w:unhideWhenUsed/>
    <w:rsid w:val="00CF098F"/>
    <w:pPr>
      <w:spacing w:after="100"/>
      <w:ind w:left="220"/>
    </w:pPr>
  </w:style>
  <w:style w:type="paragraph" w:styleId="TOC3">
    <w:name w:val="toc 3"/>
    <w:basedOn w:val="Normal"/>
    <w:next w:val="Normal"/>
    <w:autoRedefine/>
    <w:uiPriority w:val="39"/>
    <w:unhideWhenUsed/>
    <w:rsid w:val="00CF098F"/>
    <w:pPr>
      <w:spacing w:after="100"/>
      <w:ind w:left="440"/>
    </w:pPr>
  </w:style>
  <w:style w:type="paragraph" w:styleId="BalloonText">
    <w:name w:val="Balloon Text"/>
    <w:basedOn w:val="Normal"/>
    <w:link w:val="BalloonTextChar"/>
    <w:uiPriority w:val="99"/>
    <w:semiHidden/>
    <w:unhideWhenUsed/>
    <w:rsid w:val="00CF0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98F"/>
    <w:rPr>
      <w:rFonts w:ascii="Tahoma" w:eastAsia="Times New Roman" w:hAnsi="Tahoma" w:cs="Tahoma"/>
      <w:sz w:val="16"/>
      <w:szCs w:val="16"/>
      <w:lang w:val="en-US"/>
    </w:rPr>
  </w:style>
  <w:style w:type="table" w:styleId="TableGrid">
    <w:name w:val="Table Grid"/>
    <w:basedOn w:val="TableNormal"/>
    <w:uiPriority w:val="59"/>
    <w:rsid w:val="0049081D"/>
    <w:pPr>
      <w:spacing w:after="0"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66405"/>
    <w:pPr>
      <w:widowControl w:val="0"/>
      <w:autoSpaceDE w:val="0"/>
      <w:autoSpaceDN w:val="0"/>
      <w:adjustRightInd w:val="0"/>
      <w:spacing w:line="288" w:lineRule="auto"/>
      <w:jc w:val="left"/>
      <w:textAlignment w:val="center"/>
    </w:pPr>
    <w:rPr>
      <w:rFonts w:ascii="Times-Roman" w:hAnsi="Times-Roman" w:cs="Times-Roman"/>
      <w:color w:val="000000"/>
      <w:sz w:val="24"/>
      <w:szCs w:val="24"/>
      <w:lang w:eastAsia="ja-JP"/>
    </w:rPr>
  </w:style>
  <w:style w:type="paragraph" w:styleId="ListParagraph">
    <w:name w:val="List Paragraph"/>
    <w:basedOn w:val="Normal"/>
    <w:uiPriority w:val="34"/>
    <w:qFormat/>
    <w:rsid w:val="00215309"/>
    <w:pPr>
      <w:ind w:left="720"/>
      <w:contextualSpacing/>
    </w:pPr>
  </w:style>
  <w:style w:type="character" w:customStyle="1" w:styleId="Heading2Char">
    <w:name w:val="Heading 2 Char"/>
    <w:basedOn w:val="DefaultParagraphFont"/>
    <w:link w:val="Heading2"/>
    <w:uiPriority w:val="9"/>
    <w:semiHidden/>
    <w:rsid w:val="00350A5B"/>
    <w:rPr>
      <w:rFonts w:asciiTheme="majorHAnsi" w:eastAsiaTheme="majorEastAsia" w:hAnsiTheme="majorHAnsi" w:cstheme="majorBidi"/>
      <w:b/>
      <w:bCs/>
      <w:color w:val="4A66AC" w:themeColor="accent1"/>
      <w:sz w:val="26"/>
      <w:szCs w:val="26"/>
      <w:lang w:val="en-US"/>
    </w:rPr>
  </w:style>
  <w:style w:type="character" w:customStyle="1" w:styleId="Heading3Char">
    <w:name w:val="Heading 3 Char"/>
    <w:basedOn w:val="DefaultParagraphFont"/>
    <w:link w:val="Heading3"/>
    <w:uiPriority w:val="9"/>
    <w:semiHidden/>
    <w:rsid w:val="00350A5B"/>
    <w:rPr>
      <w:rFonts w:asciiTheme="majorHAnsi" w:eastAsiaTheme="majorEastAsia" w:hAnsiTheme="majorHAnsi" w:cstheme="majorBidi"/>
      <w:b/>
      <w:bCs/>
      <w:color w:val="4A66AC" w:themeColor="accent1"/>
      <w:szCs w:val="20"/>
      <w:lang w:val="en-US"/>
    </w:rPr>
  </w:style>
  <w:style w:type="paragraph" w:styleId="Header">
    <w:name w:val="header"/>
    <w:basedOn w:val="Normal"/>
    <w:link w:val="HeaderChar"/>
    <w:uiPriority w:val="99"/>
    <w:unhideWhenUsed/>
    <w:rsid w:val="008929E9"/>
    <w:pPr>
      <w:tabs>
        <w:tab w:val="center" w:pos="4680"/>
        <w:tab w:val="right" w:pos="9360"/>
      </w:tabs>
      <w:spacing w:line="240" w:lineRule="auto"/>
    </w:pPr>
  </w:style>
  <w:style w:type="character" w:customStyle="1" w:styleId="HeaderChar">
    <w:name w:val="Header Char"/>
    <w:basedOn w:val="DefaultParagraphFont"/>
    <w:link w:val="Header"/>
    <w:uiPriority w:val="99"/>
    <w:rsid w:val="008929E9"/>
    <w:rPr>
      <w:rFonts w:ascii="Arial" w:eastAsia="Times New Roman" w:hAnsi="Arial"/>
      <w:szCs w:val="20"/>
      <w:lang w:val="en-US"/>
    </w:rPr>
  </w:style>
  <w:style w:type="paragraph" w:styleId="Footer">
    <w:name w:val="footer"/>
    <w:basedOn w:val="Normal"/>
    <w:link w:val="FooterChar"/>
    <w:uiPriority w:val="99"/>
    <w:unhideWhenUsed/>
    <w:rsid w:val="008929E9"/>
    <w:pPr>
      <w:tabs>
        <w:tab w:val="center" w:pos="4680"/>
        <w:tab w:val="right" w:pos="9360"/>
      </w:tabs>
      <w:spacing w:line="240" w:lineRule="auto"/>
    </w:pPr>
  </w:style>
  <w:style w:type="character" w:customStyle="1" w:styleId="FooterChar">
    <w:name w:val="Footer Char"/>
    <w:basedOn w:val="DefaultParagraphFont"/>
    <w:link w:val="Footer"/>
    <w:uiPriority w:val="99"/>
    <w:rsid w:val="008929E9"/>
    <w:rPr>
      <w:rFonts w:ascii="Arial" w:eastAsia="Times New Roman" w:hAnsi="Arial"/>
      <w:szCs w:val="20"/>
      <w:lang w:val="en-US"/>
    </w:rPr>
  </w:style>
  <w:style w:type="paragraph" w:styleId="NoSpacing">
    <w:name w:val="No Spacing"/>
    <w:link w:val="NoSpacingChar"/>
    <w:uiPriority w:val="1"/>
    <w:qFormat/>
    <w:rsid w:val="00DD56F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56F6"/>
    <w:rPr>
      <w:rFonts w:eastAsiaTheme="minorEastAsia"/>
      <w:lang w:val="en-US"/>
    </w:rPr>
  </w:style>
  <w:style w:type="character" w:styleId="FollowedHyperlink">
    <w:name w:val="FollowedHyperlink"/>
    <w:basedOn w:val="DefaultParagraphFont"/>
    <w:uiPriority w:val="99"/>
    <w:semiHidden/>
    <w:unhideWhenUsed/>
    <w:rsid w:val="00564546"/>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ac-aspc.gc.ca/lab-bio/regul/index-eng.php" TargetMode="External"/><Relationship Id="rId18" Type="http://schemas.openxmlformats.org/officeDocument/2006/relationships/hyperlink" Target="http://www.cdc.gov/biosafety/publications/bmbl5/BMBL.pdf" TargetMode="External"/><Relationship Id="rId26" Type="http://schemas.openxmlformats.org/officeDocument/2006/relationships/hyperlink" Target="http://www.inspection.gc.ca/english/sci/bio/plaveg/placone.pdf" TargetMode="External"/><Relationship Id="rId39" Type="http://schemas.openxmlformats.org/officeDocument/2006/relationships/hyperlink" Target="http://www.who.int/csr/resources/publications/biosafety/WHO_CDS_CSR_LYO_2004_11/en/" TargetMode="External"/><Relationship Id="rId3" Type="http://schemas.openxmlformats.org/officeDocument/2006/relationships/numbering" Target="numbering.xml"/><Relationship Id="rId21" Type="http://schemas.openxmlformats.org/officeDocument/2006/relationships/hyperlink" Target="http://canadianbiosafetystandards.collaboration.gc.ca" TargetMode="External"/><Relationship Id="rId34" Type="http://schemas.openxmlformats.org/officeDocument/2006/relationships/hyperlink" Target="http://www.cdc.gov/biosafety/publications/bmbl5/BMBL.pdf"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cid:image001.png@01CDC410.EDE91A10" TargetMode="External"/><Relationship Id="rId17" Type="http://schemas.openxmlformats.org/officeDocument/2006/relationships/hyperlink" Target="http://oba.od.nih.gov/oba/rac/Guidelines/APPENDIX_B.htm" TargetMode="External"/><Relationship Id="rId25" Type="http://schemas.openxmlformats.org/officeDocument/2006/relationships/hyperlink" Target="http://canadianbiosafetystandards.collaboration.gc.ca" TargetMode="External"/><Relationship Id="rId33" Type="http://schemas.openxmlformats.org/officeDocument/2006/relationships/hyperlink" Target="http://www.who.int/csr/resources/publications/biosafety/WHO_CDS_CSR_LYO_2004_11/en/" TargetMode="External"/><Relationship Id="rId38" Type="http://schemas.openxmlformats.org/officeDocument/2006/relationships/hyperlink" Target="http://www.inspection.gc.ca/english/sci/bio/anima/aqu/csfncie.pdf" TargetMode="External"/><Relationship Id="rId2" Type="http://schemas.openxmlformats.org/officeDocument/2006/relationships/customXml" Target="../customXml/item2.xml"/><Relationship Id="rId16" Type="http://schemas.openxmlformats.org/officeDocument/2006/relationships/hyperlink" Target="http://www.absa.org/riskgroups/index.html" TargetMode="External"/><Relationship Id="rId20" Type="http://schemas.openxmlformats.org/officeDocument/2006/relationships/hyperlink" Target="http://canadianbiosafetystandards.collaboration.gc.ca" TargetMode="External"/><Relationship Id="rId29" Type="http://schemas.openxmlformats.org/officeDocument/2006/relationships/hyperlink" Target="http://www.cdc.gov/biosafety/publications/bmbl5/BMBL.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dc.gov/biosafety/publications/bmbl5/BMBL.pdf" TargetMode="External"/><Relationship Id="rId32" Type="http://schemas.openxmlformats.org/officeDocument/2006/relationships/hyperlink" Target="http://www.inspection.gc.ca/english/sci/bio/anima/aqu/csfncie.pdf" TargetMode="External"/><Relationship Id="rId37" Type="http://schemas.openxmlformats.org/officeDocument/2006/relationships/hyperlink" Target="http://www.inspection.gc.ca/english/sci/bio/plaveg/placone.pdf" TargetMode="External"/><Relationship Id="rId40" Type="http://schemas.openxmlformats.org/officeDocument/2006/relationships/hyperlink" Target="http://www.cdc.gov/biosafety/publications/bmbl5/BMBL.pdf" TargetMode="External"/><Relationship Id="rId5" Type="http://schemas.openxmlformats.org/officeDocument/2006/relationships/settings" Target="settings.xml"/><Relationship Id="rId15" Type="http://schemas.openxmlformats.org/officeDocument/2006/relationships/hyperlink" Target="http://www.inspection.gc.ca/english/sci/bio/anima/disemala/disemalae.shtml" TargetMode="External"/><Relationship Id="rId23" Type="http://schemas.openxmlformats.org/officeDocument/2006/relationships/hyperlink" Target="http://www.inspection.gc.ca/english/sci/bio/anima/aqu/csfncie.pdf" TargetMode="External"/><Relationship Id="rId28" Type="http://schemas.openxmlformats.org/officeDocument/2006/relationships/hyperlink" Target="http://www.who.int/csr/resources/publications/biosafety/WHO_CDS_CSR_LYO_2004_11/en/" TargetMode="External"/><Relationship Id="rId36" Type="http://schemas.openxmlformats.org/officeDocument/2006/relationships/hyperlink" Target="http://canadianbiosafetystandards.collaboration.gc.ca" TargetMode="External"/><Relationship Id="rId10" Type="http://schemas.openxmlformats.org/officeDocument/2006/relationships/image" Target="media/image2.png"/><Relationship Id="rId19" Type="http://schemas.openxmlformats.org/officeDocument/2006/relationships/hyperlink" Target="http://www.uleth.ca/risk-and-safety-services/sites/risk-and-safety-services/files/Biological%20Risk%20Group%20and%20Containment%20Level%20Assessment%20Template.pdf" TargetMode="External"/><Relationship Id="rId31" Type="http://schemas.openxmlformats.org/officeDocument/2006/relationships/hyperlink" Target="http://www.inspection.gc.ca/english/sci/bio/plaveg/placone.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hac-aspc.gc.ca/lab-bio/res/psds-ftss/index-eng.php" TargetMode="External"/><Relationship Id="rId22" Type="http://schemas.openxmlformats.org/officeDocument/2006/relationships/hyperlink" Target="http://www.inspection.gc.ca/english/sci/bio/plaveg/placone.pdf" TargetMode="External"/><Relationship Id="rId27" Type="http://schemas.openxmlformats.org/officeDocument/2006/relationships/hyperlink" Target="http://www.inspection.gc.ca/english/sci/bio/anima/aqu/csfncie.pdf" TargetMode="External"/><Relationship Id="rId30" Type="http://schemas.openxmlformats.org/officeDocument/2006/relationships/hyperlink" Target="http://canadianbiosafetystandards.collaboration.gc.ca" TargetMode="External"/><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template to be completed by all Principle Investigators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01ADE1-4C40-40DC-BB85-55221270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Biosafety Plan</vt:lpstr>
    </vt:vector>
  </TitlesOfParts>
  <Company>University of Lethbridge</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Plan</dc:title>
  <dc:subject/>
  <dc:creator>2018</dc:creator>
  <cp:lastModifiedBy>Selinger, Lorna</cp:lastModifiedBy>
  <cp:revision>13</cp:revision>
  <dcterms:created xsi:type="dcterms:W3CDTF">2018-06-11T22:52:00Z</dcterms:created>
  <dcterms:modified xsi:type="dcterms:W3CDTF">2018-06-12T20:11:00Z</dcterms:modified>
</cp:coreProperties>
</file>